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548dd4" w:space="1" w:sz="8" w:val="single"/>
          <w:left w:space="0" w:sz="0" w:val="nil"/>
          <w:bottom w:space="0" w:sz="0" w:val="nil"/>
          <w:right w:space="0" w:sz="0" w:val="nil"/>
          <w:between w:space="0" w:sz="0" w:val="nil"/>
        </w:pBdr>
        <w:spacing w:after="0" w:line="360" w:lineRule="auto"/>
        <w:jc w:val="both"/>
        <w:rPr>
          <w:rFonts w:ascii="NewsGoth Cn BT" w:cs="NewsGoth Cn BT" w:eastAsia="NewsGoth Cn BT" w:hAnsi="NewsGoth Cn BT"/>
          <w:color w:val="000000"/>
          <w:sz w:val="30"/>
          <w:szCs w:val="30"/>
        </w:rPr>
      </w:pPr>
      <w:bookmarkStart w:colFirst="0" w:colLast="0" w:name="_heading=h.5g1dwpqcv43s" w:id="0"/>
      <w:bookmarkEnd w:id="0"/>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-101599</wp:posOffset>
                </wp:positionH>
                <wp:positionV relativeFrom="paragraph">
                  <wp:posOffset>-749299</wp:posOffset>
                </wp:positionV>
                <wp:extent cx="6102350" cy="809625"/>
                <wp:effectExtent b="0" l="0" r="0" t="0"/>
                <wp:wrapNone/>
                <wp:docPr id="1837382923" name=""/>
                <a:graphic>
                  <a:graphicData uri="http://schemas.microsoft.com/office/word/2010/wordprocessingGroup">
                    <wpg:wgp>
                      <wpg:cNvGrpSpPr/>
                      <wpg:grpSpPr>
                        <a:xfrm>
                          <a:off x="2294825" y="3375175"/>
                          <a:ext cx="6102350" cy="809625"/>
                          <a:chOff x="2294825" y="3375175"/>
                          <a:chExt cx="6102350" cy="809650"/>
                        </a:xfrm>
                      </wpg:grpSpPr>
                      <wpg:grpSp>
                        <wpg:cNvGrpSpPr/>
                        <wpg:grpSpPr>
                          <a:xfrm>
                            <a:off x="2294825" y="3375188"/>
                            <a:ext cx="6102350" cy="809625"/>
                            <a:chOff x="0" y="0"/>
                            <a:chExt cx="6102350" cy="809625"/>
                          </a:xfrm>
                        </wpg:grpSpPr>
                        <wps:wsp>
                          <wps:cNvSpPr/>
                          <wps:cNvPr id="4" name="Shape 4"/>
                          <wps:spPr>
                            <a:xfrm>
                              <a:off x="0" y="0"/>
                              <a:ext cx="6102350" cy="8096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844550" y="152400"/>
                              <a:ext cx="5257800" cy="654050"/>
                            </a:xfrm>
                            <a:prstGeom prst="rect">
                              <a:avLst/>
                            </a:prstGeom>
                            <a:solidFill>
                              <a:srgbClr val="FFFFFF"/>
                            </a:solidFill>
                            <a:ln>
                              <a:noFill/>
                            </a:ln>
                          </wps:spPr>
                          <wps:txbx>
                            <w:txbxContent>
                              <w:p w:rsidR="00000000" w:rsidDel="00000000" w:rsidP="00000000" w:rsidRDefault="00000000" w:rsidRPr="00000000">
                                <w:pPr>
                                  <w:spacing w:after="0" w:before="0" w:line="258.0000114440918"/>
                                  <w:ind w:left="0" w:right="0" w:firstLine="0"/>
                                  <w:jc w:val="left"/>
                                  <w:textDirection w:val="btLr"/>
                                </w:pPr>
                                <w:r w:rsidDel="00000000" w:rsidR="00000000" w:rsidRPr="00000000">
                                  <w:rPr>
                                    <w:rFonts w:ascii="NewsGoth Cn BT" w:cs="NewsGoth Cn BT" w:eastAsia="NewsGoth Cn BT" w:hAnsi="NewsGoth Cn BT"/>
                                    <w:b w:val="1"/>
                                    <w:i w:val="0"/>
                                    <w:smallCaps w:val="0"/>
                                    <w:strike w:val="0"/>
                                    <w:color w:val="000000"/>
                                    <w:sz w:val="26"/>
                                    <w:vertAlign w:val="baseline"/>
                                  </w:rPr>
                                  <w:t xml:space="preserve">SOPHIA: Jurnal Teologi dan Pendidikan Kristen</w:t>
                                </w:r>
                              </w:p>
                              <w:p w:rsidR="00000000" w:rsidDel="00000000" w:rsidP="00000000" w:rsidRDefault="00000000" w:rsidRPr="00000000">
                                <w:pPr>
                                  <w:spacing w:after="0" w:before="0" w:line="258.0000114440918"/>
                                  <w:ind w:left="0" w:right="0" w:firstLine="0"/>
                                  <w:jc w:val="left"/>
                                  <w:textDirection w:val="btLr"/>
                                </w:pPr>
                                <w:r w:rsidDel="00000000" w:rsidR="00000000" w:rsidRPr="00000000">
                                  <w:rPr>
                                    <w:rFonts w:ascii="NewsGoth Cn BT" w:cs="NewsGoth Cn BT" w:eastAsia="NewsGoth Cn BT" w:hAnsi="NewsGoth Cn BT"/>
                                    <w:b w:val="1"/>
                                    <w:i w:val="0"/>
                                    <w:smallCaps w:val="0"/>
                                    <w:strike w:val="0"/>
                                    <w:color w:val="000000"/>
                                    <w:sz w:val="26"/>
                                    <w:vertAlign w:val="baseline"/>
                                  </w:rPr>
                                </w:r>
                                <w:r w:rsidDel="00000000" w:rsidR="00000000" w:rsidRPr="00000000">
                                  <w:rPr>
                                    <w:rFonts w:ascii="NewsGoth Cn BT" w:cs="NewsGoth Cn BT" w:eastAsia="NewsGoth Cn BT" w:hAnsi="NewsGoth Cn BT"/>
                                    <w:b w:val="0"/>
                                    <w:i w:val="0"/>
                                    <w:smallCaps w:val="0"/>
                                    <w:strike w:val="0"/>
                                    <w:color w:val="000000"/>
                                    <w:sz w:val="22"/>
                                    <w:vertAlign w:val="baseline"/>
                                  </w:rPr>
                                  <w:t xml:space="preserve">ISSN: </w:t>
                                </w:r>
                                <w:r w:rsidDel="00000000" w:rsidR="00000000" w:rsidRPr="00000000">
                                  <w:rPr>
                                    <w:rFonts w:ascii="CMBX10" w:cs="CMBX10" w:eastAsia="CMBX10" w:hAnsi="CMBX10"/>
                                    <w:b w:val="0"/>
                                    <w:i w:val="0"/>
                                    <w:smallCaps w:val="0"/>
                                    <w:strike w:val="0"/>
                                    <w:color w:val="000000"/>
                                    <w:sz w:val="20"/>
                                    <w:vertAlign w:val="baseline"/>
                                  </w:rPr>
                                  <w:t xml:space="preserve">2722-8851</w:t>
                                </w:r>
                                <w:r w:rsidDel="00000000" w:rsidR="00000000" w:rsidRPr="00000000">
                                  <w:rPr>
                                    <w:rFonts w:ascii="NewsGoth Cn BT" w:cs="NewsGoth Cn BT" w:eastAsia="NewsGoth Cn BT" w:hAnsi="NewsGoth Cn BT"/>
                                    <w:b w:val="0"/>
                                    <w:i w:val="0"/>
                                    <w:smallCaps w:val="0"/>
                                    <w:strike w:val="0"/>
                                    <w:color w:val="000000"/>
                                    <w:sz w:val="22"/>
                                    <w:vertAlign w:val="baseline"/>
                                  </w:rPr>
                                  <w:t xml:space="preserve"> (cetak), </w:t>
                                </w:r>
                                <w:r w:rsidDel="00000000" w:rsidR="00000000" w:rsidRPr="00000000">
                                  <w:rPr>
                                    <w:rFonts w:ascii="CMBX10" w:cs="CMBX10" w:eastAsia="CMBX10" w:hAnsi="CMBX10"/>
                                    <w:b w:val="0"/>
                                    <w:i w:val="0"/>
                                    <w:smallCaps w:val="0"/>
                                    <w:strike w:val="0"/>
                                    <w:color w:val="000000"/>
                                    <w:sz w:val="20"/>
                                    <w:vertAlign w:val="baseline"/>
                                  </w:rPr>
                                  <w:t xml:space="preserve">2722-886X</w:t>
                                </w:r>
                                <w:r w:rsidDel="00000000" w:rsidR="00000000" w:rsidRPr="00000000">
                                  <w:rPr>
                                    <w:rFonts w:ascii="NewsGoth Cn BT" w:cs="NewsGoth Cn BT" w:eastAsia="NewsGoth Cn BT" w:hAnsi="NewsGoth Cn BT"/>
                                    <w:b w:val="0"/>
                                    <w:i w:val="0"/>
                                    <w:smallCaps w:val="0"/>
                                    <w:strike w:val="0"/>
                                    <w:color w:val="000000"/>
                                    <w:sz w:val="22"/>
                                    <w:vertAlign w:val="baseline"/>
                                  </w:rPr>
                                  <w:t xml:space="preserve"> (online)	DOI: 10.34307/sophia.xxxxxxx</w:t>
                                </w:r>
                              </w:p>
                              <w:p w:rsidR="00000000" w:rsidDel="00000000" w:rsidP="00000000" w:rsidRDefault="00000000" w:rsidRPr="00000000">
                                <w:pPr>
                                  <w:spacing w:after="0" w:before="0" w:line="258.0000114440918"/>
                                  <w:ind w:left="0" w:right="0" w:firstLine="0"/>
                                  <w:jc w:val="left"/>
                                  <w:textDirection w:val="btLr"/>
                                </w:pPr>
                                <w:r w:rsidDel="00000000" w:rsidR="00000000" w:rsidRPr="00000000">
                                  <w:rPr>
                                    <w:rFonts w:ascii="NewsGoth Cn BT" w:cs="NewsGoth Cn BT" w:eastAsia="NewsGoth Cn BT" w:hAnsi="NewsGoth Cn BT"/>
                                    <w:b w:val="0"/>
                                    <w:i w:val="0"/>
                                    <w:smallCaps w:val="0"/>
                                    <w:strike w:val="0"/>
                                    <w:color w:val="000000"/>
                                    <w:sz w:val="22"/>
                                    <w:vertAlign w:val="baseline"/>
                                  </w:rPr>
                                </w:r>
                                <w:r w:rsidDel="00000000" w:rsidR="00000000" w:rsidRPr="00000000">
                                  <w:rPr>
                                    <w:rFonts w:ascii="NewsGoth Cn BT" w:cs="NewsGoth Cn BT" w:eastAsia="NewsGoth Cn BT" w:hAnsi="NewsGoth Cn BT"/>
                                    <w:b w:val="0"/>
                                    <w:i w:val="0"/>
                                    <w:smallCaps w:val="0"/>
                                    <w:strike w:val="0"/>
                                    <w:color w:val="000000"/>
                                    <w:sz w:val="22"/>
                                    <w:vertAlign w:val="baseline"/>
                                  </w:rPr>
                                  <w:t xml:space="preserve">Volume x, No xx, Bulan 202x; (page x-xx)	</w:t>
                                </w:r>
                                <w:r w:rsidDel="00000000" w:rsidR="00000000" w:rsidRPr="00000000">
                                  <w:rPr>
                                    <w:rFonts w:ascii="Times New Roman" w:cs="Times New Roman" w:eastAsia="Times New Roman" w:hAnsi="Times New Roman"/>
                                    <w:b w:val="0"/>
                                    <w:i w:val="1"/>
                                    <w:smallCaps w:val="0"/>
                                    <w:strike w:val="0"/>
                                    <w:color w:val="000000"/>
                                    <w:sz w:val="18"/>
                                    <w:vertAlign w:val="baseline"/>
                                  </w:rPr>
                                  <w:t xml:space="preserve">Available at: </w:t>
                                </w:r>
                                <w:r w:rsidDel="00000000" w:rsidR="00000000" w:rsidRPr="00000000">
                                  <w:rPr>
                                    <w:rFonts w:ascii="Times New Roman" w:cs="Times New Roman" w:eastAsia="Times New Roman" w:hAnsi="Times New Roman"/>
                                    <w:b w:val="0"/>
                                    <w:i w:val="0"/>
                                    <w:smallCaps w:val="0"/>
                                    <w:strike w:val="0"/>
                                    <w:color w:val="000000"/>
                                    <w:sz w:val="18"/>
                                    <w:vertAlign w:val="baseline"/>
                                  </w:rPr>
                                  <w:t xml:space="preserve">http://sophia.iakn-toraja.ac.id</w:t>
                                </w:r>
                                <w:r w:rsidDel="00000000" w:rsidR="00000000" w:rsidRPr="00000000">
                                  <w:rPr>
                                    <w:rFonts w:ascii="Times New Roman" w:cs="Times New Roman" w:eastAsia="Times New Roman" w:hAnsi="Times New Roman"/>
                                    <w:b w:val="0"/>
                                    <w:i w:val="1"/>
                                    <w:smallCaps w:val="0"/>
                                    <w:strike w:val="0"/>
                                    <w:color w:val="000000"/>
                                    <w:sz w:val="18"/>
                                    <w:vertAlign w:val="baseline"/>
                                  </w:rPr>
                                  <w:t xml:space="preserve">  </w:t>
                                </w:r>
                              </w:p>
                              <w:p w:rsidR="00000000" w:rsidDel="00000000" w:rsidP="00000000" w:rsidRDefault="00000000" w:rsidRPr="00000000">
                                <w:pPr>
                                  <w:spacing w:after="0" w:before="0" w:line="240"/>
                                  <w:ind w:left="-141.00000381469727" w:right="0" w:firstLine="-282.00000762939453"/>
                                  <w:jc w:val="left"/>
                                  <w:textDirection w:val="btLr"/>
                                </w:pPr>
                                <w:r w:rsidDel="00000000" w:rsidR="00000000" w:rsidRPr="00000000">
                                  <w:rPr>
                                    <w:rFonts w:ascii="Times New Roman" w:cs="Times New Roman" w:eastAsia="Times New Roman" w:hAnsi="Times New Roman"/>
                                    <w:b w:val="0"/>
                                    <w:i w:val="1"/>
                                    <w:smallCaps w:val="0"/>
                                    <w:strike w:val="0"/>
                                    <w:color w:val="000000"/>
                                    <w:sz w:val="18"/>
                                    <w:vertAlign w:val="baseline"/>
                                  </w:rPr>
                                </w:r>
                              </w:p>
                              <w:p w:rsidR="00000000" w:rsidDel="00000000" w:rsidP="00000000" w:rsidRDefault="00000000" w:rsidRPr="00000000">
                                <w:pPr>
                                  <w:spacing w:after="0" w:before="0" w:line="240"/>
                                  <w:ind w:left="-141.00000381469727" w:right="0" w:firstLine="-282.00000762939453"/>
                                  <w:jc w:val="left"/>
                                  <w:textDirection w:val="btLr"/>
                                </w:pPr>
                                <w:r w:rsidDel="00000000" w:rsidR="00000000" w:rsidRPr="00000000">
                                  <w:rPr>
                                    <w:rFonts w:ascii="Times New Roman" w:cs="Times New Roman" w:eastAsia="Times New Roman" w:hAnsi="Times New Roman"/>
                                    <w:b w:val="0"/>
                                    <w:i w:val="1"/>
                                    <w:smallCaps w:val="0"/>
                                    <w:strike w:val="0"/>
                                    <w:color w:val="000000"/>
                                    <w:sz w:val="18"/>
                                    <w:vertAlign w:val="baseline"/>
                                  </w:rPr>
                                </w:r>
                              </w:p>
                            </w:txbxContent>
                          </wps:txbx>
                          <wps:bodyPr anchorCtr="0" anchor="t" bIns="45700" lIns="91425" spcFirstLastPara="1" rIns="91425" wrap="square" tIns="45700">
                            <a:noAutofit/>
                          </wps:bodyPr>
                        </wps:wsp>
                        <pic:pic>
                          <pic:nvPicPr>
                            <pic:cNvPr descr="E:\Sophia\WhatsApp Image 2020-06-24 at 10.47.28.jpeg" id="6" name="Shape 6"/>
                            <pic:cNvPicPr preferRelativeResize="0"/>
                          </pic:nvPicPr>
                          <pic:blipFill rotWithShape="1">
                            <a:blip r:embed="rId7">
                              <a:alphaModFix/>
                            </a:blip>
                            <a:srcRect b="23912" l="17821" r="18636" t="11099"/>
                            <a:stretch/>
                          </pic:blipFill>
                          <pic:spPr>
                            <a:xfrm>
                              <a:off x="0" y="0"/>
                              <a:ext cx="866775" cy="809625"/>
                            </a:xfrm>
                            <a:prstGeom prst="rect">
                              <a:avLst/>
                            </a:prstGeom>
                            <a:noFill/>
                            <a:ln>
                              <a:noFill/>
                            </a:ln>
                          </pic:spPr>
                        </pic:pic>
                      </wpg:grpSp>
                    </wpg:wgp>
                  </a:graphicData>
                </a:graphic>
              </wp:anchor>
            </w:drawing>
          </mc:Choice>
          <mc:Fallback>
            <w:drawing>
              <wp:anchor allowOverlap="1" behindDoc="1" distB="0" distT="0" distL="0" distR="0" hidden="0" layoutInCell="1" locked="0" relativeHeight="0" simplePos="0">
                <wp:simplePos x="0" y="0"/>
                <wp:positionH relativeFrom="column">
                  <wp:posOffset>-101599</wp:posOffset>
                </wp:positionH>
                <wp:positionV relativeFrom="paragraph">
                  <wp:posOffset>-749299</wp:posOffset>
                </wp:positionV>
                <wp:extent cx="6102350" cy="809625"/>
                <wp:effectExtent b="0" l="0" r="0" t="0"/>
                <wp:wrapNone/>
                <wp:docPr id="1837382923"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6102350" cy="809625"/>
                        </a:xfrm>
                        <a:prstGeom prst="rect"/>
                        <a:ln/>
                      </pic:spPr>
                    </pic:pic>
                  </a:graphicData>
                </a:graphic>
              </wp:anchor>
            </w:drawing>
          </mc:Fallback>
        </mc:AlternateConten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0" w:line="240" w:lineRule="auto"/>
        <w:jc w:val="both"/>
        <w:rPr>
          <w:rFonts w:ascii="Cambria" w:cs="Cambria" w:eastAsia="Cambria" w:hAnsi="Cambria"/>
          <w:color w:val="000000"/>
          <w:sz w:val="20"/>
          <w:szCs w:val="20"/>
        </w:rPr>
      </w:pPr>
      <w:r w:rsidDel="00000000" w:rsidR="00000000" w:rsidRPr="00000000">
        <w:rPr>
          <w:rFonts w:ascii="NewsGoth Cn BT" w:cs="NewsGoth Cn BT" w:eastAsia="NewsGoth Cn BT" w:hAnsi="NewsGoth Cn BT"/>
          <w:sz w:val="30"/>
          <w:szCs w:val="30"/>
          <w:rtl w:val="0"/>
        </w:rPr>
        <w:t xml:space="preserve">Judul Artikel (News Gothic MT, 15)</w:t>
      </w:r>
      <w:r w:rsidDel="00000000" w:rsidR="00000000" w:rsidRPr="00000000">
        <w:rPr>
          <w:rFonts w:ascii="NewsGoth Cn BT" w:cs="NewsGoth Cn BT" w:eastAsia="NewsGoth Cn BT" w:hAnsi="NewsGoth Cn BT"/>
          <w:color w:val="000000"/>
          <w:sz w:val="30"/>
          <w:szCs w:val="30"/>
          <w:rtl w:val="0"/>
        </w:rPr>
        <w:t xml:space="preserve"> </w:t>
      </w:r>
      <w:r w:rsidDel="00000000" w:rsidR="00000000" w:rsidRPr="00000000">
        <w:rPr>
          <w:rFonts w:ascii="Cambria" w:cs="Cambria" w:eastAsia="Cambria" w:hAnsi="Cambria"/>
          <w:color w:val="ff0000"/>
          <w:sz w:val="20"/>
          <w:szCs w:val="20"/>
          <w:rtl w:val="0"/>
        </w:rPr>
        <w:t xml:space="preserve">(silakan Copy Paste naskah Anda ke dalam template ini, termasuk pendahuluan, sub-sub judul, kesimpulan dan header atau footer dalam template ini)</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0" w:line="240" w:lineRule="auto"/>
        <w:rPr>
          <w:rFonts w:ascii="Cambria" w:cs="Cambria" w:eastAsia="Cambria" w:hAnsi="Cambria"/>
          <w:color w:val="000000"/>
          <w:sz w:val="24"/>
          <w:szCs w:val="24"/>
        </w:rPr>
      </w:pPr>
      <w:r w:rsidDel="00000000" w:rsidR="00000000" w:rsidRPr="00000000">
        <w:rPr>
          <w:rtl w:val="0"/>
        </w:rPr>
      </w:r>
    </w:p>
    <w:p w:rsidR="00000000" w:rsidDel="00000000" w:rsidP="00000000" w:rsidRDefault="00000000" w:rsidRPr="00000000" w14:paraId="00000004">
      <w:pPr>
        <w:spacing w:after="0" w:line="240" w:lineRule="auto"/>
        <w:ind w:left="1140"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Nama Penulis (Cambria, 12) </w:t>
      </w:r>
    </w:p>
    <w:p w:rsidR="00000000" w:rsidDel="00000000" w:rsidP="00000000" w:rsidRDefault="00000000" w:rsidRPr="00000000" w14:paraId="00000005">
      <w:pPr>
        <w:spacing w:after="0" w:line="240" w:lineRule="auto"/>
        <w:ind w:left="1134" w:firstLine="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Nama Affiliasi (Cambria,12)</w:t>
      </w:r>
    </w:p>
    <w:p w:rsidR="00000000" w:rsidDel="00000000" w:rsidP="00000000" w:rsidRDefault="00000000" w:rsidRPr="00000000" w14:paraId="00000006">
      <w:pPr>
        <w:spacing w:after="0" w:line="240" w:lineRule="auto"/>
        <w:ind w:left="414" w:firstLine="720"/>
        <w:jc w:val="both"/>
        <w:rPr>
          <w:rFonts w:ascii="Cambria" w:cs="Cambria" w:eastAsia="Cambria" w:hAnsi="Cambria"/>
          <w:i w:val="1"/>
          <w:color w:val="000000"/>
          <w:sz w:val="24"/>
          <w:szCs w:val="24"/>
        </w:rPr>
      </w:pPr>
      <w:r w:rsidDel="00000000" w:rsidR="00000000" w:rsidRPr="00000000">
        <w:rPr>
          <w:rFonts w:ascii="Cambria" w:cs="Cambria" w:eastAsia="Cambria" w:hAnsi="Cambria"/>
          <w:i w:val="1"/>
          <w:sz w:val="24"/>
          <w:szCs w:val="24"/>
          <w:rtl w:val="0"/>
        </w:rPr>
        <w:t xml:space="preserve">Alamat email  (Cambria, 12)</w:t>
      </w:r>
      <w:r w:rsidDel="00000000" w:rsidR="00000000" w:rsidRPr="00000000">
        <w:rPr>
          <w:rtl w:val="0"/>
        </w:rPr>
      </w:r>
    </w:p>
    <w:p w:rsidR="00000000" w:rsidDel="00000000" w:rsidP="00000000" w:rsidRDefault="00000000" w:rsidRPr="00000000" w14:paraId="00000007">
      <w:pPr>
        <w:spacing w:after="0" w:line="240" w:lineRule="auto"/>
        <w:ind w:left="1134" w:firstLine="0"/>
        <w:jc w:val="both"/>
        <w:rPr>
          <w:rFonts w:ascii="Cambria" w:cs="Cambria" w:eastAsia="Cambria" w:hAnsi="Cambria"/>
          <w:i w:val="1"/>
          <w:sz w:val="24"/>
          <w:szCs w:val="24"/>
        </w:rPr>
      </w:pPr>
      <w:r w:rsidDel="00000000" w:rsidR="00000000" w:rsidRPr="00000000">
        <w:rPr>
          <w:rtl w:val="0"/>
        </w:rPr>
      </w:r>
    </w:p>
    <w:tbl>
      <w:tblPr>
        <w:tblStyle w:val="Table1"/>
        <w:tblpPr w:leftFromText="180" w:rightFromText="180" w:topFromText="0" w:bottomFromText="0" w:vertAnchor="page" w:horzAnchor="page" w:tblpX="967" w:tblpY="4962"/>
        <w:tblW w:w="1575.0" w:type="dxa"/>
        <w:jc w:val="left"/>
        <w:tblLayout w:type="fixed"/>
        <w:tblLook w:val="0000"/>
      </w:tblPr>
      <w:tblGrid>
        <w:gridCol w:w="1575"/>
        <w:tblGridChange w:id="0">
          <w:tblGrid>
            <w:gridCol w:w="1575"/>
          </w:tblGrid>
        </w:tblGridChange>
      </w:tblGrid>
      <w:tr>
        <w:trPr>
          <w:cantSplit w:val="0"/>
          <w:trHeight w:val="860" w:hRule="atLeast"/>
          <w:tblHeader w:val="0"/>
        </w:trPr>
        <w:tc>
          <w:tcPr>
            <w:tcBorders>
              <w:top w:color="4f81bc" w:space="0" w:sz="13" w:val="single"/>
              <w:left w:color="4f81bc" w:space="0" w:sz="13" w:val="single"/>
              <w:bottom w:color="4f81bc" w:space="0" w:sz="13" w:val="single"/>
              <w:right w:color="4f81bc" w:space="0" w:sz="13" w:val="single"/>
            </w:tcBorders>
            <w:shd w:fill="69a02b" w:val="clear"/>
          </w:tcPr>
          <w:p w:rsidR="00000000" w:rsidDel="00000000" w:rsidP="00000000" w:rsidRDefault="00000000" w:rsidRPr="00000000" w14:paraId="00000008">
            <w:pPr>
              <w:spacing w:after="0" w:line="100" w:lineRule="auto"/>
              <w:rPr>
                <w:sz w:val="10"/>
                <w:szCs w:val="10"/>
              </w:rPr>
            </w:pPr>
            <w:bookmarkStart w:colFirst="0" w:colLast="0" w:name="_heading=h.amdh6yjuhxgl" w:id="1"/>
            <w:bookmarkEnd w:id="1"/>
            <w:r w:rsidDel="00000000" w:rsidR="00000000" w:rsidRPr="00000000">
              <w:rPr>
                <w:rtl w:val="0"/>
              </w:rPr>
            </w:r>
          </w:p>
          <w:p w:rsidR="00000000" w:rsidDel="00000000" w:rsidP="00000000" w:rsidRDefault="00000000" w:rsidRPr="00000000" w14:paraId="00000009">
            <w:pPr>
              <w:spacing w:after="0" w:line="200" w:lineRule="auto"/>
              <w:rPr/>
            </w:pPr>
            <w:r w:rsidDel="00000000" w:rsidR="00000000" w:rsidRPr="00000000">
              <w:rPr>
                <w:rtl w:val="0"/>
              </w:rPr>
            </w:r>
          </w:p>
          <w:p w:rsidR="00000000" w:rsidDel="00000000" w:rsidP="00000000" w:rsidRDefault="00000000" w:rsidRPr="00000000" w14:paraId="0000000A">
            <w:pPr>
              <w:spacing w:after="0" w:lineRule="auto"/>
              <w:ind w:left="289" w:firstLine="0"/>
              <w:rPr>
                <w:sz w:val="18"/>
                <w:szCs w:val="18"/>
              </w:rPr>
            </w:pPr>
            <w:r w:rsidDel="00000000" w:rsidR="00000000" w:rsidRPr="00000000">
              <w:rPr>
                <w:b w:val="1"/>
                <w:sz w:val="18"/>
                <w:szCs w:val="18"/>
                <w:rtl w:val="0"/>
              </w:rPr>
              <w:t xml:space="preserve">Article History</w:t>
            </w:r>
            <w:r w:rsidDel="00000000" w:rsidR="00000000" w:rsidRPr="00000000">
              <w:rPr>
                <w:rtl w:val="0"/>
              </w:rPr>
            </w:r>
          </w:p>
        </w:tc>
      </w:tr>
      <w:tr>
        <w:trPr>
          <w:cantSplit w:val="0"/>
          <w:trHeight w:val="431" w:hRule="atLeast"/>
          <w:tblHeader w:val="0"/>
        </w:trPr>
        <w:tc>
          <w:tcPr>
            <w:vMerge w:val="restart"/>
            <w:tcBorders>
              <w:top w:color="4f81bc" w:space="0" w:sz="13" w:val="single"/>
              <w:left w:color="4f81bc" w:space="0" w:sz="13" w:val="single"/>
              <w:right w:color="4f81bc" w:space="0" w:sz="13" w:val="single"/>
            </w:tcBorders>
            <w:shd w:fill="69a02b" w:val="clear"/>
          </w:tcPr>
          <w:p w:rsidR="00000000" w:rsidDel="00000000" w:rsidP="00000000" w:rsidRDefault="00000000" w:rsidRPr="00000000" w14:paraId="0000000B">
            <w:pPr>
              <w:spacing w:after="0" w:line="180" w:lineRule="auto"/>
              <w:rPr>
                <w:sz w:val="19"/>
                <w:szCs w:val="19"/>
              </w:rPr>
            </w:pPr>
            <w:r w:rsidDel="00000000" w:rsidR="00000000" w:rsidRPr="00000000">
              <w:rPr>
                <w:rtl w:val="0"/>
              </w:rPr>
            </w:r>
          </w:p>
          <w:p w:rsidR="00000000" w:rsidDel="00000000" w:rsidP="00000000" w:rsidRDefault="00000000" w:rsidRPr="00000000" w14:paraId="0000000C">
            <w:pPr>
              <w:spacing w:after="0" w:lineRule="auto"/>
              <w:ind w:left="454" w:right="348" w:firstLine="0"/>
              <w:rPr>
                <w:sz w:val="18"/>
                <w:szCs w:val="18"/>
              </w:rPr>
            </w:pPr>
            <w:r w:rsidDel="00000000" w:rsidR="00000000" w:rsidRPr="00000000">
              <w:rPr>
                <w:b w:val="1"/>
                <w:sz w:val="18"/>
                <w:szCs w:val="18"/>
                <w:rtl w:val="0"/>
              </w:rPr>
              <w:t xml:space="preserve">Received</w:t>
            </w:r>
            <w:r w:rsidDel="00000000" w:rsidR="00000000" w:rsidRPr="00000000">
              <w:rPr>
                <w:rtl w:val="0"/>
              </w:rPr>
            </w:r>
          </w:p>
          <w:p w:rsidR="00000000" w:rsidDel="00000000" w:rsidP="00000000" w:rsidRDefault="00000000" w:rsidRPr="00000000" w14:paraId="0000000D">
            <w:pPr>
              <w:spacing w:after="0" w:line="200" w:lineRule="auto"/>
              <w:ind w:left="72" w:right="-32" w:firstLine="0"/>
              <w:jc w:val="center"/>
              <w:rPr>
                <w:sz w:val="18"/>
                <w:szCs w:val="18"/>
              </w:rPr>
            </w:pPr>
            <w:r w:rsidDel="00000000" w:rsidR="00000000" w:rsidRPr="00000000">
              <w:rPr>
                <w:sz w:val="18"/>
                <w:szCs w:val="18"/>
                <w:rtl w:val="0"/>
              </w:rPr>
              <w:t xml:space="preserve">dd-mm-yyyy</w:t>
            </w:r>
          </w:p>
        </w:tc>
      </w:tr>
      <w:tr>
        <w:trPr>
          <w:cantSplit w:val="0"/>
          <w:trHeight w:val="429" w:hRule="atLeast"/>
          <w:tblHeader w:val="0"/>
        </w:trPr>
        <w:tc>
          <w:tcPr>
            <w:vMerge w:val="continue"/>
            <w:tcBorders>
              <w:top w:color="4f81bc" w:space="0" w:sz="13" w:val="single"/>
              <w:left w:color="4f81bc" w:space="0" w:sz="13" w:val="single"/>
              <w:right w:color="4f81bc" w:space="0" w:sz="13" w:val="single"/>
            </w:tcBorders>
            <w:shd w:fill="69a02b" w:val="clea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r>
      <w:tr>
        <w:trPr>
          <w:cantSplit w:val="0"/>
          <w:trHeight w:val="431" w:hRule="atLeast"/>
          <w:tblHeader w:val="0"/>
        </w:trPr>
        <w:tc>
          <w:tcPr>
            <w:vMerge w:val="restart"/>
            <w:tcBorders>
              <w:top w:color="4f81bc" w:space="0" w:sz="13" w:val="single"/>
              <w:left w:color="4f81bc" w:space="0" w:sz="13" w:val="single"/>
              <w:right w:color="4f81bc" w:space="0" w:sz="13" w:val="single"/>
            </w:tcBorders>
            <w:shd w:fill="69a02b" w:val="clear"/>
          </w:tcPr>
          <w:p w:rsidR="00000000" w:rsidDel="00000000" w:rsidP="00000000" w:rsidRDefault="00000000" w:rsidRPr="00000000" w14:paraId="0000000F">
            <w:pPr>
              <w:spacing w:after="0" w:line="180" w:lineRule="auto"/>
              <w:rPr>
                <w:sz w:val="19"/>
                <w:szCs w:val="19"/>
              </w:rPr>
            </w:pPr>
            <w:r w:rsidDel="00000000" w:rsidR="00000000" w:rsidRPr="00000000">
              <w:rPr>
                <w:rtl w:val="0"/>
              </w:rPr>
            </w:r>
          </w:p>
          <w:p w:rsidR="00000000" w:rsidDel="00000000" w:rsidP="00000000" w:rsidRDefault="00000000" w:rsidRPr="00000000" w14:paraId="00000010">
            <w:pPr>
              <w:spacing w:after="0" w:lineRule="auto"/>
              <w:ind w:left="500" w:right="395" w:firstLine="0"/>
              <w:rPr>
                <w:sz w:val="18"/>
                <w:szCs w:val="18"/>
              </w:rPr>
            </w:pPr>
            <w:r w:rsidDel="00000000" w:rsidR="00000000" w:rsidRPr="00000000">
              <w:rPr>
                <w:b w:val="1"/>
                <w:sz w:val="18"/>
                <w:szCs w:val="18"/>
                <w:rtl w:val="0"/>
              </w:rPr>
              <w:t xml:space="preserve">Revised</w:t>
            </w:r>
            <w:r w:rsidDel="00000000" w:rsidR="00000000" w:rsidRPr="00000000">
              <w:rPr>
                <w:rtl w:val="0"/>
              </w:rPr>
            </w:r>
          </w:p>
          <w:p w:rsidR="00000000" w:rsidDel="00000000" w:rsidP="00000000" w:rsidRDefault="00000000" w:rsidRPr="00000000" w14:paraId="00000011">
            <w:pPr>
              <w:spacing w:after="0" w:line="200" w:lineRule="auto"/>
              <w:ind w:right="20"/>
              <w:jc w:val="center"/>
              <w:rPr>
                <w:sz w:val="18"/>
                <w:szCs w:val="18"/>
              </w:rPr>
            </w:pPr>
            <w:r w:rsidDel="00000000" w:rsidR="00000000" w:rsidRPr="00000000">
              <w:rPr>
                <w:sz w:val="18"/>
                <w:szCs w:val="18"/>
                <w:rtl w:val="0"/>
              </w:rPr>
              <w:t xml:space="preserve">dd-mm-yyyy</w:t>
            </w:r>
          </w:p>
        </w:tc>
      </w:tr>
      <w:tr>
        <w:trPr>
          <w:cantSplit w:val="0"/>
          <w:trHeight w:val="430" w:hRule="atLeast"/>
          <w:tblHeader w:val="0"/>
        </w:trPr>
        <w:tc>
          <w:tcPr>
            <w:vMerge w:val="continue"/>
            <w:tcBorders>
              <w:top w:color="4f81bc" w:space="0" w:sz="13" w:val="single"/>
              <w:left w:color="4f81bc" w:space="0" w:sz="13" w:val="single"/>
              <w:right w:color="4f81bc" w:space="0" w:sz="13" w:val="single"/>
            </w:tcBorders>
            <w:shd w:fill="69a02b" w:val="clea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r>
      <w:tr>
        <w:trPr>
          <w:cantSplit w:val="0"/>
          <w:trHeight w:val="431" w:hRule="atLeast"/>
          <w:tblHeader w:val="0"/>
        </w:trPr>
        <w:tc>
          <w:tcPr>
            <w:vMerge w:val="restart"/>
            <w:tcBorders>
              <w:top w:color="4f81bc" w:space="0" w:sz="13" w:val="single"/>
              <w:left w:color="4f81bc" w:space="0" w:sz="13" w:val="single"/>
              <w:right w:color="4f81bc" w:space="0" w:sz="13" w:val="single"/>
            </w:tcBorders>
            <w:shd w:fill="69a02b" w:val="clear"/>
          </w:tcPr>
          <w:p w:rsidR="00000000" w:rsidDel="00000000" w:rsidP="00000000" w:rsidRDefault="00000000" w:rsidRPr="00000000" w14:paraId="00000013">
            <w:pPr>
              <w:spacing w:after="0" w:line="180" w:lineRule="auto"/>
              <w:rPr>
                <w:sz w:val="19"/>
                <w:szCs w:val="19"/>
              </w:rPr>
            </w:pPr>
            <w:r w:rsidDel="00000000" w:rsidR="00000000" w:rsidRPr="00000000">
              <w:rPr>
                <w:rtl w:val="0"/>
              </w:rPr>
            </w:r>
          </w:p>
          <w:p w:rsidR="00000000" w:rsidDel="00000000" w:rsidP="00000000" w:rsidRDefault="00000000" w:rsidRPr="00000000" w14:paraId="00000014">
            <w:pPr>
              <w:spacing w:after="0" w:lineRule="auto"/>
              <w:ind w:left="442" w:right="338" w:firstLine="0"/>
              <w:rPr>
                <w:sz w:val="18"/>
                <w:szCs w:val="18"/>
              </w:rPr>
            </w:pPr>
            <w:r w:rsidDel="00000000" w:rsidR="00000000" w:rsidRPr="00000000">
              <w:rPr>
                <w:b w:val="1"/>
                <w:sz w:val="18"/>
                <w:szCs w:val="18"/>
                <w:rtl w:val="0"/>
              </w:rPr>
              <w:t xml:space="preserve">Accepted</w:t>
            </w:r>
            <w:r w:rsidDel="00000000" w:rsidR="00000000" w:rsidRPr="00000000">
              <w:rPr>
                <w:rtl w:val="0"/>
              </w:rPr>
            </w:r>
          </w:p>
          <w:p w:rsidR="00000000" w:rsidDel="00000000" w:rsidP="00000000" w:rsidRDefault="00000000" w:rsidRPr="00000000" w14:paraId="00000015">
            <w:pPr>
              <w:spacing w:after="0" w:line="200" w:lineRule="auto"/>
              <w:ind w:right="20"/>
              <w:jc w:val="center"/>
              <w:rPr>
                <w:sz w:val="18"/>
                <w:szCs w:val="18"/>
              </w:rPr>
            </w:pPr>
            <w:r w:rsidDel="00000000" w:rsidR="00000000" w:rsidRPr="00000000">
              <w:rPr>
                <w:sz w:val="18"/>
                <w:szCs w:val="18"/>
                <w:rtl w:val="0"/>
              </w:rPr>
              <w:t xml:space="preserve">dd-mm-yyyy</w:t>
            </w:r>
          </w:p>
        </w:tc>
      </w:tr>
      <w:tr>
        <w:trPr>
          <w:cantSplit w:val="0"/>
          <w:trHeight w:val="429" w:hRule="atLeast"/>
          <w:tblHeader w:val="0"/>
        </w:trPr>
        <w:tc>
          <w:tcPr>
            <w:vMerge w:val="continue"/>
            <w:tcBorders>
              <w:top w:color="4f81bc" w:space="0" w:sz="13" w:val="single"/>
              <w:left w:color="4f81bc" w:space="0" w:sz="13" w:val="single"/>
              <w:right w:color="4f81bc" w:space="0" w:sz="13" w:val="single"/>
            </w:tcBorders>
            <w:shd w:fill="69a02b" w:val="clea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r>
    </w:tbl>
    <w:p w:rsidR="00000000" w:rsidDel="00000000" w:rsidP="00000000" w:rsidRDefault="00000000" w:rsidRPr="00000000" w14:paraId="00000017">
      <w:pPr>
        <w:spacing w:after="0" w:line="240" w:lineRule="auto"/>
        <w:ind w:left="1134" w:firstLine="0"/>
        <w:jc w:val="both"/>
        <w:rPr>
          <w:rFonts w:ascii="Cambria" w:cs="Cambria" w:eastAsia="Cambria" w:hAnsi="Cambria"/>
          <w:i w:val="1"/>
        </w:rPr>
      </w:pPr>
      <w:r w:rsidDel="00000000" w:rsidR="00000000" w:rsidRPr="00000000">
        <w:rPr>
          <w:rtl w:val="0"/>
        </w:rPr>
      </w:r>
    </w:p>
    <w:p w:rsidR="00000000" w:rsidDel="00000000" w:rsidP="00000000" w:rsidRDefault="00000000" w:rsidRPr="00000000" w14:paraId="00000018">
      <w:pPr>
        <w:spacing w:after="0" w:line="240" w:lineRule="auto"/>
        <w:ind w:left="1134" w:firstLine="0"/>
        <w:jc w:val="both"/>
        <w:rPr>
          <w:rFonts w:ascii="Cambria" w:cs="Cambria" w:eastAsia="Cambria" w:hAnsi="Cambria"/>
          <w:i w:val="1"/>
        </w:rPr>
      </w:pPr>
      <w:r w:rsidDel="00000000" w:rsidR="00000000" w:rsidRPr="00000000">
        <w:rPr>
          <w:rFonts w:ascii="Cambria" w:cs="Cambria" w:eastAsia="Cambria" w:hAnsi="Cambria"/>
          <w:b w:val="1"/>
          <w:i w:val="1"/>
          <w:rtl w:val="0"/>
        </w:rPr>
        <w:t xml:space="preserve">Abstract:</w:t>
      </w:r>
      <w:r w:rsidDel="00000000" w:rsidR="00000000" w:rsidRPr="00000000">
        <w:rPr>
          <w:rFonts w:ascii="Cambria" w:cs="Cambria" w:eastAsia="Cambria" w:hAnsi="Cambria"/>
          <w:i w:val="1"/>
          <w:rtl w:val="0"/>
        </w:rPr>
        <w:t xml:space="preserve"> The abstract consists briefly of the description on the problems, objectives, method, and result of the research. Then, conclusion and suggestions are made as short as possible with no more than 100 – 150 words. If article is written in indonesian, the abstract should be typed in Indonesian and English. Meanwhile, if article is written in English, the abstract should be typed in English only. The abstract should be typed as concise as possible and should be composed of: problem stament, method, scientific finding results, and short conclusion. The abstract should only be typed in one paragraph.</w:t>
      </w:r>
    </w:p>
    <w:p w:rsidR="00000000" w:rsidDel="00000000" w:rsidP="00000000" w:rsidRDefault="00000000" w:rsidRPr="00000000" w14:paraId="00000019">
      <w:pPr>
        <w:spacing w:after="0" w:line="240" w:lineRule="auto"/>
        <w:ind w:left="1134" w:firstLine="0"/>
        <w:jc w:val="both"/>
        <w:rPr>
          <w:rFonts w:ascii="Cambria" w:cs="Cambria" w:eastAsia="Cambria" w:hAnsi="Cambria"/>
          <w:i w:val="1"/>
        </w:rPr>
      </w:pPr>
      <w:r w:rsidDel="00000000" w:rsidR="00000000" w:rsidRPr="00000000">
        <w:rPr>
          <w:rtl w:val="0"/>
        </w:rPr>
      </w:r>
    </w:p>
    <w:p w:rsidR="00000000" w:rsidDel="00000000" w:rsidP="00000000" w:rsidRDefault="00000000" w:rsidRPr="00000000" w14:paraId="0000001A">
      <w:pPr>
        <w:spacing w:after="0" w:line="240" w:lineRule="auto"/>
        <w:ind w:left="1134" w:firstLine="0"/>
        <w:jc w:val="both"/>
        <w:rPr>
          <w:rFonts w:ascii="Cambria" w:cs="Cambria" w:eastAsia="Cambria" w:hAnsi="Cambria"/>
          <w:i w:val="1"/>
        </w:rPr>
      </w:pPr>
      <w:r w:rsidDel="00000000" w:rsidR="00000000" w:rsidRPr="00000000">
        <w:rPr>
          <w:rFonts w:ascii="Cambria" w:cs="Cambria" w:eastAsia="Cambria" w:hAnsi="Cambria"/>
          <w:i w:val="1"/>
          <w:rtl w:val="0"/>
        </w:rPr>
        <w:t xml:space="preserve">Keywords: arranged alphabetically    </w:t>
      </w:r>
    </w:p>
    <w:p w:rsidR="00000000" w:rsidDel="00000000" w:rsidP="00000000" w:rsidRDefault="00000000" w:rsidRPr="00000000" w14:paraId="0000001B">
      <w:pPr>
        <w:spacing w:after="0" w:line="240" w:lineRule="auto"/>
        <w:ind w:left="1134" w:firstLine="0"/>
        <w:jc w:val="both"/>
        <w:rPr>
          <w:rFonts w:ascii="Cambria" w:cs="Cambria" w:eastAsia="Cambria" w:hAnsi="Cambria"/>
          <w:i w:val="1"/>
        </w:rPr>
      </w:pPr>
      <w:r w:rsidDel="00000000" w:rsidR="00000000" w:rsidRPr="00000000">
        <w:rPr>
          <w:rtl w:val="0"/>
        </w:rPr>
      </w:r>
    </w:p>
    <w:p w:rsidR="00000000" w:rsidDel="00000000" w:rsidP="00000000" w:rsidRDefault="00000000" w:rsidRPr="00000000" w14:paraId="0000001C">
      <w:pPr>
        <w:spacing w:after="0" w:line="240" w:lineRule="auto"/>
        <w:ind w:left="1134" w:firstLine="0"/>
        <w:jc w:val="both"/>
        <w:rPr>
          <w:rFonts w:ascii="Cambria" w:cs="Cambria" w:eastAsia="Cambria" w:hAnsi="Cambria"/>
        </w:rPr>
      </w:pPr>
      <w:r w:rsidDel="00000000" w:rsidR="00000000" w:rsidRPr="00000000">
        <w:rPr>
          <w:rFonts w:ascii="Cambria" w:cs="Cambria" w:eastAsia="Cambria" w:hAnsi="Cambria"/>
          <w:b w:val="1"/>
          <w:rtl w:val="0"/>
        </w:rPr>
        <w:t xml:space="preserve">Abstrak:</w:t>
      </w:r>
      <w:r w:rsidDel="00000000" w:rsidR="00000000" w:rsidRPr="00000000">
        <w:rPr>
          <w:rFonts w:ascii="Cambria" w:cs="Cambria" w:eastAsia="Cambria" w:hAnsi="Cambria"/>
          <w:rtl w:val="0"/>
        </w:rPr>
        <w:t xml:space="preserve"> Abstrak secara singkat memuat uraian mengenai masalah dan tujuan penelitian, metode yang digunakan, dan hasil penelitian. Kesimpulan dan saran dibuat sesingkat mungkin. Jumlah kata maksimum adalah 100-150 kata. Jika artikel berbahasa indonesia, maka abstrak harus ditulis dalam bahasa indonesia dan bahasa inggris dan juga abstrak harus memuat inti permasalahan yang akan dikemukakakan, metode pemecahannya, dan hasil-hasil temuan saintifik yang diperoleh serta simpulan, abstrak untuk masing-masing bahasa hanya boleh dituliskan dalam satu paragraf saja</w:t>
      </w:r>
    </w:p>
    <w:p w:rsidR="00000000" w:rsidDel="00000000" w:rsidP="00000000" w:rsidRDefault="00000000" w:rsidRPr="00000000" w14:paraId="0000001D">
      <w:pPr>
        <w:spacing w:after="0" w:line="240" w:lineRule="auto"/>
        <w:ind w:left="1134"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1E">
      <w:pPr>
        <w:spacing w:after="0" w:line="240" w:lineRule="auto"/>
        <w:ind w:left="1134" w:firstLine="0"/>
        <w:jc w:val="both"/>
        <w:rPr>
          <w:rFonts w:ascii="Cambria" w:cs="Cambria" w:eastAsia="Cambria" w:hAnsi="Cambria"/>
        </w:rPr>
      </w:pPr>
      <w:r w:rsidDel="00000000" w:rsidR="00000000" w:rsidRPr="00000000">
        <w:rPr>
          <w:rFonts w:ascii="Cambria" w:cs="Cambria" w:eastAsia="Cambria" w:hAnsi="Cambria"/>
          <w:rtl w:val="0"/>
        </w:rPr>
        <w:t xml:space="preserve">Kata Kunci: disusun secara alfabet, antar kata kunci dipisahkan dengan tanda koma</w:t>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line="300" w:lineRule="auto"/>
        <w:jc w:val="both"/>
        <w:rPr>
          <w:rFonts w:ascii="Cambria" w:cs="Cambria" w:eastAsia="Cambria" w:hAnsi="Cambria"/>
          <w:color w:val="000000"/>
          <w:sz w:val="24"/>
          <w:szCs w:val="24"/>
        </w:rPr>
      </w:pPr>
      <w:r w:rsidDel="00000000" w:rsidR="00000000" w:rsidRPr="00000000">
        <w:rPr>
          <w:rtl w:val="0"/>
        </w:rPr>
      </w:r>
    </w:p>
    <w:p w:rsidR="00000000" w:rsidDel="00000000" w:rsidP="00000000" w:rsidRDefault="00000000" w:rsidRPr="00000000" w14:paraId="00000020">
      <w:pPr>
        <w:numPr>
          <w:ilvl w:val="0"/>
          <w:numId w:val="1"/>
        </w:numPr>
        <w:pBdr>
          <w:top w:space="0" w:sz="0" w:val="nil"/>
          <w:left w:space="0" w:sz="0" w:val="nil"/>
          <w:bottom w:space="0" w:sz="0" w:val="nil"/>
          <w:right w:space="0" w:sz="0" w:val="nil"/>
          <w:between w:space="0" w:sz="0" w:val="nil"/>
        </w:pBdr>
        <w:spacing w:after="0" w:line="300" w:lineRule="auto"/>
        <w:ind w:left="426" w:hanging="426"/>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Pendahuluan (Cambria, 12)</w:t>
      </w:r>
    </w:p>
    <w:p w:rsidR="00000000" w:rsidDel="00000000" w:rsidP="00000000" w:rsidRDefault="00000000" w:rsidRPr="00000000" w14:paraId="00000021">
      <w:pPr>
        <w:spacing w:after="0" w:line="3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ab/>
        <w:t xml:space="preserve"> Pendahuluan harus berisi (secara berurutan) latar belakang umum, kajian literatur terdahulu (</w:t>
      </w:r>
      <w:r w:rsidDel="00000000" w:rsidR="00000000" w:rsidRPr="00000000">
        <w:rPr>
          <w:rFonts w:ascii="Cambria" w:cs="Cambria" w:eastAsia="Cambria" w:hAnsi="Cambria"/>
          <w:i w:val="1"/>
          <w:sz w:val="24"/>
          <w:szCs w:val="24"/>
          <w:rtl w:val="0"/>
        </w:rPr>
        <w:t xml:space="preserve">state of the art)</w:t>
      </w:r>
      <w:r w:rsidDel="00000000" w:rsidR="00000000" w:rsidRPr="00000000">
        <w:rPr>
          <w:rFonts w:ascii="Cambria" w:cs="Cambria" w:eastAsia="Cambria" w:hAnsi="Cambria"/>
          <w:sz w:val="24"/>
          <w:szCs w:val="24"/>
          <w:rtl w:val="0"/>
        </w:rPr>
        <w:t xml:space="preserve"> sebagai dasar pernyataan kebaruan ilmiah dari artikel, pernyataan kebaruan ilmiah, dan permasalahan penelitian atau hipotesis (optional). Di bagian akhir pendahuluan harus dituliskan tujuan kajian artikel tersebut. Di dalam format artikel ilmiah tidak diperkenankan adanya tinjauan pustaka sebagaimana di laporan penelitian, tetapi diwujudkan dalam bentuk kajian literatur terdahulu (</w:t>
      </w:r>
      <w:r w:rsidDel="00000000" w:rsidR="00000000" w:rsidRPr="00000000">
        <w:rPr>
          <w:rFonts w:ascii="Cambria" w:cs="Cambria" w:eastAsia="Cambria" w:hAnsi="Cambria"/>
          <w:i w:val="1"/>
          <w:sz w:val="24"/>
          <w:szCs w:val="24"/>
          <w:rtl w:val="0"/>
        </w:rPr>
        <w:t xml:space="preserve">state of the art)</w:t>
      </w:r>
      <w:r w:rsidDel="00000000" w:rsidR="00000000" w:rsidRPr="00000000">
        <w:rPr>
          <w:rFonts w:ascii="Cambria" w:cs="Cambria" w:eastAsia="Cambria" w:hAnsi="Cambria"/>
          <w:sz w:val="24"/>
          <w:szCs w:val="24"/>
          <w:rtl w:val="0"/>
        </w:rPr>
        <w:t xml:space="preserve"> untuk menunjukkan kebaruan ilmiah artikel tersebut.</w:t>
      </w:r>
    </w:p>
    <w:p w:rsidR="00000000" w:rsidDel="00000000" w:rsidP="00000000" w:rsidRDefault="00000000" w:rsidRPr="00000000" w14:paraId="00000022">
      <w:pPr>
        <w:spacing w:after="0" w:line="300" w:lineRule="auto"/>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23">
      <w:pPr>
        <w:widowControl w:val="0"/>
        <w:numPr>
          <w:ilvl w:val="0"/>
          <w:numId w:val="1"/>
        </w:numPr>
        <w:pBdr>
          <w:top w:space="0" w:sz="0" w:val="nil"/>
          <w:left w:space="0" w:sz="0" w:val="nil"/>
          <w:bottom w:space="0" w:sz="0" w:val="nil"/>
          <w:right w:space="0" w:sz="0" w:val="nil"/>
          <w:between w:space="0" w:sz="0" w:val="nil"/>
        </w:pBdr>
        <w:spacing w:after="0" w:line="300" w:lineRule="auto"/>
        <w:ind w:left="426" w:hanging="426"/>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Metode Penelitian </w:t>
      </w:r>
    </w:p>
    <w:p w:rsidR="00000000" w:rsidDel="00000000" w:rsidP="00000000" w:rsidRDefault="00000000" w:rsidRPr="00000000" w14:paraId="00000024">
      <w:pPr>
        <w:spacing w:after="0" w:line="300" w:lineRule="auto"/>
        <w:ind w:firstLine="72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Mencakup tentang metode peneliltian teologi yang ilmiah yang digunakan dalam pemecahan permasalahan. (misalnya: metode hermeneutis). Bahan-bahan yang dituliskan di sini hanya berupa bahan utama saja dan harus dilengkapi dengan judul, pengarang dan penerbit (misalnya: </w:t>
      </w:r>
      <w:r w:rsidDel="00000000" w:rsidR="00000000" w:rsidRPr="00000000">
        <w:rPr>
          <w:rFonts w:ascii="Cambria" w:cs="Cambria" w:eastAsia="Cambria" w:hAnsi="Cambria"/>
          <w:i w:val="1"/>
          <w:sz w:val="24"/>
          <w:szCs w:val="24"/>
          <w:rtl w:val="0"/>
        </w:rPr>
        <w:t xml:space="preserve">Novum Testamentum</w:t>
      </w:r>
      <w:r w:rsidDel="00000000" w:rsidR="00000000" w:rsidRPr="00000000">
        <w:rPr>
          <w:rFonts w:ascii="Cambria" w:cs="Cambria" w:eastAsia="Cambria" w:hAnsi="Cambria"/>
          <w:sz w:val="24"/>
          <w:szCs w:val="24"/>
          <w:rtl w:val="0"/>
        </w:rPr>
        <w:t xml:space="preserve">). Metode-metode yang digunakan dalam penyelesaian penelitian dituliskan di bagian ini.</w:t>
      </w:r>
    </w:p>
    <w:p w:rsidR="00000000" w:rsidDel="00000000" w:rsidP="00000000" w:rsidRDefault="00000000" w:rsidRPr="00000000" w14:paraId="00000025">
      <w:pPr>
        <w:spacing w:after="0" w:line="300" w:lineRule="auto"/>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26">
      <w:pPr>
        <w:widowControl w:val="0"/>
        <w:numPr>
          <w:ilvl w:val="0"/>
          <w:numId w:val="1"/>
        </w:numPr>
        <w:pBdr>
          <w:top w:space="0" w:sz="0" w:val="nil"/>
          <w:left w:space="0" w:sz="0" w:val="nil"/>
          <w:bottom w:space="0" w:sz="0" w:val="nil"/>
          <w:right w:space="0" w:sz="0" w:val="nil"/>
          <w:between w:space="0" w:sz="0" w:val="nil"/>
        </w:pBdr>
        <w:spacing w:after="0" w:line="300" w:lineRule="auto"/>
        <w:ind w:left="426" w:hanging="426"/>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Hasil dan Pembahasan</w:t>
      </w:r>
    </w:p>
    <w:p w:rsidR="00000000" w:rsidDel="00000000" w:rsidP="00000000" w:rsidRDefault="00000000" w:rsidRPr="00000000" w14:paraId="00000027">
      <w:pPr>
        <w:widowControl w:val="0"/>
        <w:spacing w:after="0" w:line="300" w:lineRule="auto"/>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ab/>
        <w:t xml:space="preserve">Dapat berisi sub-sub judul. Hasil dan pembahasan berisi hasil-hasil temuan penelitian dan pembahasannya secara ilmiah. Tuliskan temuan-temuan ilmiah (</w:t>
      </w:r>
      <w:r w:rsidDel="00000000" w:rsidR="00000000" w:rsidRPr="00000000">
        <w:rPr>
          <w:rFonts w:ascii="Cambria" w:cs="Cambria" w:eastAsia="Cambria" w:hAnsi="Cambria"/>
          <w:i w:val="1"/>
          <w:sz w:val="24"/>
          <w:szCs w:val="24"/>
          <w:rtl w:val="0"/>
        </w:rPr>
        <w:t xml:space="preserve">scientific finding</w:t>
      </w:r>
      <w:r w:rsidDel="00000000" w:rsidR="00000000" w:rsidRPr="00000000">
        <w:rPr>
          <w:rFonts w:ascii="Cambria" w:cs="Cambria" w:eastAsia="Cambria" w:hAnsi="Cambria"/>
          <w:sz w:val="24"/>
          <w:szCs w:val="24"/>
          <w:rtl w:val="0"/>
        </w:rPr>
        <w:t xml:space="preserve">) yang diperoleh dari hasil-hasil penelitian yang telah dilakukan tetapi harus ditunjang oleh data-data yang memadai. Temuan ilmiah yang dimaksud di sini adalah bukan data-data hasil penelitian yang diperoleh. Temuan-temuan ilmiah tersebut harus dijelaskan secara saintifik meliputi: Apakah temuan ilmiah yang diperoleh? Mengapa hal itu bisa terjadi? Mengapa trend variabel seperti itu? Semua pertanyaan tersebut harus dijelaskan secara saintifik, tidak hanya deskriptif, bila perlu ditunjang oleh fenomena-fenomena dasar ilmiah yang memadai. Selain itu, harus dijelaskan juga perbandingannya dengan hasil-hasil para peneliti lain yang hampir sama topiknya. Hasil-hasil penelitian dan temuan harus bisa menjawab tujuan penelitian atau hipotesis penelitian di bagian pendahuluan.</w:t>
      </w:r>
    </w:p>
    <w:p w:rsidR="00000000" w:rsidDel="00000000" w:rsidP="00000000" w:rsidRDefault="00000000" w:rsidRPr="00000000" w14:paraId="00000028">
      <w:pPr>
        <w:widowControl w:val="0"/>
        <w:spacing w:after="0" w:line="300" w:lineRule="auto"/>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29">
      <w:pPr>
        <w:widowControl w:val="0"/>
        <w:numPr>
          <w:ilvl w:val="0"/>
          <w:numId w:val="1"/>
        </w:numPr>
        <w:pBdr>
          <w:top w:space="0" w:sz="0" w:val="nil"/>
          <w:left w:space="0" w:sz="0" w:val="nil"/>
          <w:bottom w:space="0" w:sz="0" w:val="nil"/>
          <w:right w:space="0" w:sz="0" w:val="nil"/>
          <w:between w:space="0" w:sz="0" w:val="nil"/>
        </w:pBdr>
        <w:spacing w:after="0" w:line="300" w:lineRule="auto"/>
        <w:ind w:left="426" w:hanging="426"/>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Kesimpulan</w:t>
      </w:r>
    </w:p>
    <w:p w:rsidR="00000000" w:rsidDel="00000000" w:rsidP="00000000" w:rsidRDefault="00000000" w:rsidRPr="00000000" w14:paraId="0000002A">
      <w:pPr>
        <w:spacing w:after="0" w:line="300" w:lineRule="auto"/>
        <w:ind w:firstLine="720"/>
        <w:jc w:val="both"/>
        <w:rPr>
          <w:rFonts w:ascii="Cambria" w:cs="Cambria" w:eastAsia="Cambria" w:hAnsi="Cambria"/>
          <w:sz w:val="24"/>
          <w:szCs w:val="24"/>
        </w:rPr>
      </w:pPr>
      <w:r w:rsidDel="00000000" w:rsidR="00000000" w:rsidRPr="00000000">
        <w:rPr>
          <w:rFonts w:ascii="Cambria" w:cs="Cambria" w:eastAsia="Cambria" w:hAnsi="Cambria"/>
          <w:sz w:val="24"/>
          <w:szCs w:val="24"/>
          <w:rtl w:val="0"/>
        </w:rPr>
        <w:t xml:space="preserve">Kesimpulan menggambarkan jawaban dari hipotesis dan/atau tujuan penelitian atau temuan ilmiah yang diperoleh. Kesimpulan bukan berisi perulangan dari hasil dan pembahasan, tetapi lebih kepada ringkasan hasil temuan seperti yang diharapkan di tujuan atau hipotesis. Bila perlu, di bagian akhir kesimpulan dapat juga dituliskan hal-hal yang akan dilakukan terkait dengan gagasan selanjutnya dari penelitian tersebut.</w:t>
      </w:r>
    </w:p>
    <w:p w:rsidR="00000000" w:rsidDel="00000000" w:rsidP="00000000" w:rsidRDefault="00000000" w:rsidRPr="00000000" w14:paraId="0000002B">
      <w:pPr>
        <w:spacing w:after="0" w:line="300" w:lineRule="auto"/>
        <w:jc w:val="both"/>
        <w:rPr>
          <w:rFonts w:ascii="Cambria" w:cs="Cambria" w:eastAsia="Cambria" w:hAnsi="Cambria"/>
          <w:sz w:val="24"/>
          <w:szCs w:val="24"/>
        </w:rPr>
      </w:pPr>
      <w:r w:rsidDel="00000000" w:rsidR="00000000" w:rsidRPr="00000000">
        <w:rPr>
          <w:rtl w:val="0"/>
        </w:rPr>
      </w:r>
    </w:p>
    <w:p w:rsidR="00000000" w:rsidDel="00000000" w:rsidP="00000000" w:rsidRDefault="00000000" w:rsidRPr="00000000" w14:paraId="0000002C">
      <w:pPr>
        <w:spacing w:after="0" w:line="300" w:lineRule="auto"/>
        <w:jc w:val="both"/>
        <w:rPr>
          <w:rFonts w:ascii="Cambria" w:cs="Cambria" w:eastAsia="Cambria" w:hAnsi="Cambria"/>
          <w:b w:val="1"/>
          <w:sz w:val="24"/>
          <w:szCs w:val="24"/>
        </w:rPr>
      </w:pPr>
      <w:r w:rsidDel="00000000" w:rsidR="00000000" w:rsidRPr="00000000">
        <w:rPr>
          <w:rFonts w:ascii="Cambria" w:cs="Cambria" w:eastAsia="Cambria" w:hAnsi="Cambria"/>
          <w:b w:val="1"/>
          <w:sz w:val="24"/>
          <w:szCs w:val="24"/>
          <w:rtl w:val="0"/>
        </w:rPr>
        <w:t xml:space="preserve">Daftar Pustaka</w:t>
      </w:r>
    </w:p>
    <w:p w:rsidR="00000000" w:rsidDel="00000000" w:rsidP="00000000" w:rsidRDefault="00000000" w:rsidRPr="00000000" w14:paraId="0000002D">
      <w:pPr>
        <w:tabs>
          <w:tab w:val="left" w:leader="none" w:pos="-3870"/>
        </w:tabs>
        <w:spacing w:after="0" w:line="300" w:lineRule="auto"/>
        <w:ind w:right="-6" w:firstLine="567"/>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Semua rujukan-rujukan yang diacu di dalam teks artikel harus didaftarkan di bagian Daftar Pustaka. Daftar Pustaka harus berisi pustaka-pustaka acuan yang berasal dari sumber primer (jurnal ilmiah dan berjumlah minimum 80% dari keseluruhan daftar pustaka) diterbitkan </w:t>
      </w:r>
      <w:r w:rsidDel="00000000" w:rsidR="00000000" w:rsidRPr="00000000">
        <w:rPr>
          <w:rFonts w:ascii="Cambria" w:cs="Cambria" w:eastAsia="Cambria" w:hAnsi="Cambria"/>
          <w:sz w:val="24"/>
          <w:szCs w:val="24"/>
          <w:rtl w:val="0"/>
        </w:rPr>
        <w:t xml:space="preserve">5</w:t>
      </w:r>
      <w:r w:rsidDel="00000000" w:rsidR="00000000" w:rsidRPr="00000000">
        <w:rPr>
          <w:rFonts w:ascii="Cambria" w:cs="Cambria" w:eastAsia="Cambria" w:hAnsi="Cambria"/>
          <w:color w:val="000000"/>
          <w:sz w:val="24"/>
          <w:szCs w:val="24"/>
          <w:rtl w:val="0"/>
        </w:rPr>
        <w:t xml:space="preserve">(</w:t>
      </w:r>
      <w:r w:rsidDel="00000000" w:rsidR="00000000" w:rsidRPr="00000000">
        <w:rPr>
          <w:rFonts w:ascii="Cambria" w:cs="Cambria" w:eastAsia="Cambria" w:hAnsi="Cambria"/>
          <w:sz w:val="24"/>
          <w:szCs w:val="24"/>
          <w:rtl w:val="0"/>
        </w:rPr>
        <w:t xml:space="preserve">lima</w:t>
      </w:r>
      <w:r w:rsidDel="00000000" w:rsidR="00000000" w:rsidRPr="00000000">
        <w:rPr>
          <w:rFonts w:ascii="Cambria" w:cs="Cambria" w:eastAsia="Cambria" w:hAnsi="Cambria"/>
          <w:color w:val="000000"/>
          <w:sz w:val="24"/>
          <w:szCs w:val="24"/>
          <w:rtl w:val="0"/>
        </w:rPr>
        <w:t xml:space="preserve">) tahun terakhir. Setiap artikel paling tidak berisi 10 (sepuluh) daftar pustaka acuan. Penulisan </w:t>
      </w:r>
      <w:r w:rsidDel="00000000" w:rsidR="00000000" w:rsidRPr="00000000">
        <w:rPr>
          <w:rFonts w:ascii="Cambria" w:cs="Cambria" w:eastAsia="Cambria" w:hAnsi="Cambria"/>
          <w:sz w:val="24"/>
          <w:szCs w:val="24"/>
          <w:rtl w:val="0"/>
        </w:rPr>
        <w:t xml:space="preserve">sistem</w:t>
      </w:r>
      <w:r w:rsidDel="00000000" w:rsidR="00000000" w:rsidRPr="00000000">
        <w:rPr>
          <w:rFonts w:ascii="Cambria" w:cs="Cambria" w:eastAsia="Cambria" w:hAnsi="Cambria"/>
          <w:color w:val="000000"/>
          <w:sz w:val="24"/>
          <w:szCs w:val="24"/>
          <w:rtl w:val="0"/>
        </w:rPr>
        <w:t xml:space="preserve"> rujukan di dalam teks artikel dan penulisan daftar pustaka sebaiknya menggunakan program aplikasi manajemen referensi </w:t>
      </w:r>
      <w:r w:rsidDel="00000000" w:rsidR="00000000" w:rsidRPr="00000000">
        <w:rPr>
          <w:rFonts w:ascii="Cambria" w:cs="Cambria" w:eastAsia="Cambria" w:hAnsi="Cambria"/>
          <w:i w:val="1"/>
          <w:color w:val="000000"/>
          <w:sz w:val="24"/>
          <w:szCs w:val="24"/>
          <w:rtl w:val="0"/>
        </w:rPr>
        <w:t xml:space="preserve">Mendeley</w:t>
      </w:r>
      <w:r w:rsidDel="00000000" w:rsidR="00000000" w:rsidRPr="00000000">
        <w:rPr>
          <w:rFonts w:ascii="Cambria" w:cs="Cambria" w:eastAsia="Cambria" w:hAnsi="Cambria"/>
          <w:color w:val="000000"/>
          <w:sz w:val="24"/>
          <w:szCs w:val="24"/>
          <w:rtl w:val="0"/>
        </w:rPr>
        <w:t xml:space="preserve">.</w:t>
      </w:r>
    </w:p>
    <w:p w:rsidR="00000000" w:rsidDel="00000000" w:rsidP="00000000" w:rsidRDefault="00000000" w:rsidRPr="00000000" w14:paraId="0000002E">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tl w:val="0"/>
        </w:rPr>
      </w:r>
    </w:p>
    <w:p w:rsidR="00000000" w:rsidDel="00000000" w:rsidP="00000000" w:rsidRDefault="00000000" w:rsidRPr="00000000" w14:paraId="0000002F">
      <w:pPr>
        <w:tabs>
          <w:tab w:val="left" w:leader="none" w:pos="-3870"/>
        </w:tabs>
        <w:spacing w:after="0" w:line="300" w:lineRule="auto"/>
        <w:ind w:right="-6"/>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Petunjuk Penggunaan Catatan Kaki (CK) dan Daftar Pustaka (DP)</w:t>
      </w:r>
    </w:p>
    <w:p w:rsidR="00000000" w:rsidDel="00000000" w:rsidP="00000000" w:rsidRDefault="00000000" w:rsidRPr="00000000" w14:paraId="00000030">
      <w:pPr>
        <w:tabs>
          <w:tab w:val="left" w:leader="none" w:pos="-3870"/>
        </w:tabs>
        <w:spacing w:after="0" w:line="300" w:lineRule="auto"/>
        <w:ind w:right="-6"/>
        <w:jc w:val="both"/>
        <w:rPr>
          <w:rFonts w:ascii="Cambria" w:cs="Cambria" w:eastAsia="Cambria" w:hAnsi="Cambria"/>
          <w:b w:val="1"/>
          <w:sz w:val="24"/>
          <w:szCs w:val="24"/>
        </w:rPr>
      </w:pPr>
      <w:r w:rsidDel="00000000" w:rsidR="00000000" w:rsidRPr="00000000">
        <w:rPr>
          <w:rFonts w:ascii="Cambria" w:cs="Cambria" w:eastAsia="Cambria" w:hAnsi="Cambria"/>
          <w:sz w:val="24"/>
          <w:szCs w:val="24"/>
          <w:rtl w:val="0"/>
        </w:rPr>
        <w:t xml:space="preserve">Model penulisan menggunakan format </w:t>
      </w:r>
      <w:r w:rsidDel="00000000" w:rsidR="00000000" w:rsidRPr="00000000">
        <w:rPr>
          <w:rFonts w:ascii="Cambria" w:cs="Cambria" w:eastAsia="Cambria" w:hAnsi="Cambria"/>
          <w:b w:val="1"/>
          <w:sz w:val="24"/>
          <w:szCs w:val="24"/>
          <w:rtl w:val="0"/>
        </w:rPr>
        <w:t xml:space="preserve">Turabian 8th edition (full note)</w:t>
      </w:r>
    </w:p>
    <w:p w:rsidR="00000000" w:rsidDel="00000000" w:rsidP="00000000" w:rsidRDefault="00000000" w:rsidRPr="00000000" w14:paraId="00000031">
      <w:pPr>
        <w:tabs>
          <w:tab w:val="left" w:leader="none" w:pos="-3870"/>
        </w:tabs>
        <w:spacing w:after="0" w:line="300" w:lineRule="auto"/>
        <w:ind w:right="-6"/>
        <w:jc w:val="both"/>
        <w:rPr>
          <w:rFonts w:ascii="Cambria" w:cs="Cambria" w:eastAsia="Cambria" w:hAnsi="Cambria"/>
          <w:b w:val="1"/>
          <w:sz w:val="24"/>
          <w:szCs w:val="24"/>
        </w:rPr>
      </w:pPr>
      <w:r w:rsidDel="00000000" w:rsidR="00000000" w:rsidRPr="00000000">
        <w:rPr>
          <w:rtl w:val="0"/>
        </w:rPr>
      </w:r>
    </w:p>
    <w:p w:rsidR="00000000" w:rsidDel="00000000" w:rsidP="00000000" w:rsidRDefault="00000000" w:rsidRPr="00000000" w14:paraId="00000032">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Referensi (Cambria, 12pt, bold)</w:t>
      </w:r>
    </w:p>
    <w:p w:rsidR="00000000" w:rsidDel="00000000" w:rsidP="00000000" w:rsidRDefault="00000000" w:rsidRPr="00000000" w14:paraId="00000033">
      <w:pPr>
        <w:tabs>
          <w:tab w:val="left" w:leader="none" w:pos="-3870"/>
        </w:tabs>
        <w:spacing w:after="0" w:line="300" w:lineRule="auto"/>
        <w:ind w:right="-6"/>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Catatan Kaki</w:t>
      </w:r>
    </w:p>
    <w:p w:rsidR="00000000" w:rsidDel="00000000" w:rsidP="00000000" w:rsidRDefault="00000000" w:rsidRPr="00000000" w14:paraId="00000034">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Dalam catatan kaki, sumber dicatat dengan membubuhkan nama lengkap,</w:t>
      </w:r>
    </w:p>
    <w:p w:rsidR="00000000" w:rsidDel="00000000" w:rsidP="00000000" w:rsidRDefault="00000000" w:rsidRPr="00000000" w14:paraId="00000035">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judul, data penerbitan dan halaman. Untuk buku, data penerbitan diletakkan dalam</w:t>
      </w:r>
    </w:p>
    <w:p w:rsidR="00000000" w:rsidDel="00000000" w:rsidP="00000000" w:rsidRDefault="00000000" w:rsidRPr="00000000" w14:paraId="00000036">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tanda kurung.</w:t>
      </w:r>
    </w:p>
    <w:p w:rsidR="00000000" w:rsidDel="00000000" w:rsidP="00000000" w:rsidRDefault="00000000" w:rsidRPr="00000000" w14:paraId="00000037">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Contoh:</w:t>
      </w:r>
    </w:p>
    <w:p w:rsidR="00000000" w:rsidDel="00000000" w:rsidP="00000000" w:rsidRDefault="00000000" w:rsidRPr="00000000" w14:paraId="00000038">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T.B. Simatupang, Iman Kristen dan Pancasila (Jakarta: BPK Gunung Mulia,</w:t>
      </w:r>
    </w:p>
    <w:p w:rsidR="00000000" w:rsidDel="00000000" w:rsidP="00000000" w:rsidRDefault="00000000" w:rsidRPr="00000000" w14:paraId="00000039">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1997), 52.</w:t>
      </w:r>
    </w:p>
    <w:p w:rsidR="00000000" w:rsidDel="00000000" w:rsidP="00000000" w:rsidRDefault="00000000" w:rsidRPr="00000000" w14:paraId="0000003A">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Joas Adiprasetya, An Imaginative Glimpse: Trinitas dan Agama-agama (Jakarta:</w:t>
      </w:r>
    </w:p>
    <w:p w:rsidR="00000000" w:rsidDel="00000000" w:rsidP="00000000" w:rsidRDefault="00000000" w:rsidRPr="00000000" w14:paraId="0000003B">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BPK Gunung Mulia, 2018), 81.</w:t>
      </w:r>
    </w:p>
    <w:p w:rsidR="00000000" w:rsidDel="00000000" w:rsidP="00000000" w:rsidRDefault="00000000" w:rsidRPr="00000000" w14:paraId="0000003C">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tl w:val="0"/>
        </w:rPr>
      </w:r>
    </w:p>
    <w:p w:rsidR="00000000" w:rsidDel="00000000" w:rsidP="00000000" w:rsidRDefault="00000000" w:rsidRPr="00000000" w14:paraId="0000003D">
      <w:pPr>
        <w:tabs>
          <w:tab w:val="left" w:leader="none" w:pos="-3870"/>
        </w:tabs>
        <w:spacing w:after="0" w:line="300" w:lineRule="auto"/>
        <w:ind w:right="-6"/>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Daftar Pustaka</w:t>
      </w:r>
    </w:p>
    <w:p w:rsidR="00000000" w:rsidDel="00000000" w:rsidP="00000000" w:rsidRDefault="00000000" w:rsidRPr="00000000" w14:paraId="0000003E">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Pada bagian akhir artikel, semua sumber didaftarkan secara alfabetis.</w:t>
      </w:r>
    </w:p>
    <w:p w:rsidR="00000000" w:rsidDel="00000000" w:rsidP="00000000" w:rsidRDefault="00000000" w:rsidRPr="00000000" w14:paraId="0000003F">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Referensi terdiri atas sumber-sumber yang dicatat dengan catatan kaki, dan juga</w:t>
      </w:r>
    </w:p>
    <w:p w:rsidR="00000000" w:rsidDel="00000000" w:rsidP="00000000" w:rsidRDefault="00000000" w:rsidRPr="00000000" w14:paraId="00000040">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sumber lain yang dibaca dan dipakai tetapi tidak dikutip atau dicatat.</w:t>
      </w:r>
    </w:p>
    <w:p w:rsidR="00000000" w:rsidDel="00000000" w:rsidP="00000000" w:rsidRDefault="00000000" w:rsidRPr="00000000" w14:paraId="00000041">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Contoh:</w:t>
      </w:r>
    </w:p>
    <w:p w:rsidR="00000000" w:rsidDel="00000000" w:rsidP="00000000" w:rsidRDefault="00000000" w:rsidRPr="00000000" w14:paraId="00000042">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Adiprasetya, Joas. An Imaginative Glimpse: Trinitas dan Agama-agama. Jakarta: BPK</w:t>
      </w:r>
    </w:p>
    <w:p w:rsidR="00000000" w:rsidDel="00000000" w:rsidP="00000000" w:rsidRDefault="00000000" w:rsidRPr="00000000" w14:paraId="00000043">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Gunung Mulia, 2018.</w:t>
      </w:r>
    </w:p>
    <w:p w:rsidR="00000000" w:rsidDel="00000000" w:rsidP="00000000" w:rsidRDefault="00000000" w:rsidRPr="00000000" w14:paraId="00000044">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Simatupang, T.B. Iman Kristen dan Pancasila. Jakarta: BPK Gunung Mulia, 1997.</w:t>
      </w:r>
    </w:p>
    <w:p w:rsidR="00000000" w:rsidDel="00000000" w:rsidP="00000000" w:rsidRDefault="00000000" w:rsidRPr="00000000" w14:paraId="00000045">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tl w:val="0"/>
        </w:rPr>
      </w:r>
    </w:p>
    <w:p w:rsidR="00000000" w:rsidDel="00000000" w:rsidP="00000000" w:rsidRDefault="00000000" w:rsidRPr="00000000" w14:paraId="00000046">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Jika sebuah sumber dipakai lebih dari satu kali, ada dua cara yang bisa dipakai</w:t>
      </w:r>
    </w:p>
    <w:p w:rsidR="00000000" w:rsidDel="00000000" w:rsidP="00000000" w:rsidRDefault="00000000" w:rsidRPr="00000000" w14:paraId="00000047">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 Kita bisa memberikan informasi mengenai sumber tersebut yang diulang</w:t>
      </w:r>
    </w:p>
    <w:p w:rsidR="00000000" w:rsidDel="00000000" w:rsidP="00000000" w:rsidRDefault="00000000" w:rsidRPr="00000000" w14:paraId="00000048">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dengan dipersingkat, yaitu dengan mencantumkan nama akhir, judul singkat</w:t>
      </w:r>
    </w:p>
    <w:p w:rsidR="00000000" w:rsidDel="00000000" w:rsidP="00000000" w:rsidRDefault="00000000" w:rsidRPr="00000000" w14:paraId="00000049">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sebanyak maksimal empat kata kunci pertama dari judul lengkap dan</w:t>
      </w:r>
    </w:p>
    <w:p w:rsidR="00000000" w:rsidDel="00000000" w:rsidP="00000000" w:rsidRDefault="00000000" w:rsidRPr="00000000" w14:paraId="0000004A">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halaman.</w:t>
      </w:r>
    </w:p>
    <w:p w:rsidR="00000000" w:rsidDel="00000000" w:rsidP="00000000" w:rsidRDefault="00000000" w:rsidRPr="00000000" w14:paraId="0000004B">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Contoh:</w:t>
      </w:r>
    </w:p>
    <w:p w:rsidR="00000000" w:rsidDel="00000000" w:rsidP="00000000" w:rsidRDefault="00000000" w:rsidRPr="00000000" w14:paraId="0000004C">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1 T.B. Simatupang, Iman Kristen danPancasila (Jakarta: BPK Gunung Mulia,</w:t>
      </w:r>
    </w:p>
    <w:p w:rsidR="00000000" w:rsidDel="00000000" w:rsidP="00000000" w:rsidRDefault="00000000" w:rsidRPr="00000000" w14:paraId="0000004D">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1997), 52.</w:t>
      </w:r>
    </w:p>
    <w:p w:rsidR="00000000" w:rsidDel="00000000" w:rsidP="00000000" w:rsidRDefault="00000000" w:rsidRPr="00000000" w14:paraId="0000004E">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2 Joas Adiprasetya, An Imaginative Glimpse: Trinitas dan Agama-agama</w:t>
      </w:r>
    </w:p>
    <w:p w:rsidR="00000000" w:rsidDel="00000000" w:rsidP="00000000" w:rsidRDefault="00000000" w:rsidRPr="00000000" w14:paraId="0000004F">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(Jakarta: BPK Gunung Mulia, 2018), 81.</w:t>
      </w:r>
    </w:p>
    <w:p w:rsidR="00000000" w:rsidDel="00000000" w:rsidP="00000000" w:rsidRDefault="00000000" w:rsidRPr="00000000" w14:paraId="00000050">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3 Simatupang, Iman Kristen dan Pancasila, 14.</w:t>
      </w:r>
    </w:p>
    <w:p w:rsidR="00000000" w:rsidDel="00000000" w:rsidP="00000000" w:rsidRDefault="00000000" w:rsidRPr="00000000" w14:paraId="00000051">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tl w:val="0"/>
        </w:rPr>
      </w:r>
    </w:p>
    <w:p w:rsidR="00000000" w:rsidDel="00000000" w:rsidP="00000000" w:rsidRDefault="00000000" w:rsidRPr="00000000" w14:paraId="00000052">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 Cara lain adalah dengan mempergunakan Ibid (singkatan Ibidem yang berati</w:t>
      </w:r>
    </w:p>
    <w:p w:rsidR="00000000" w:rsidDel="00000000" w:rsidP="00000000" w:rsidRDefault="00000000" w:rsidRPr="00000000" w14:paraId="00000053">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di tempat yang sama) dan hanya dipakai untuk sumber yang sama yang tepat</w:t>
      </w:r>
    </w:p>
    <w:p w:rsidR="00000000" w:rsidDel="00000000" w:rsidP="00000000" w:rsidRDefault="00000000" w:rsidRPr="00000000" w14:paraId="00000054">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diatasnya.</w:t>
      </w:r>
    </w:p>
    <w:p w:rsidR="00000000" w:rsidDel="00000000" w:rsidP="00000000" w:rsidRDefault="00000000" w:rsidRPr="00000000" w14:paraId="00000055">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o Kata Ibid dimulai dengan huruf besar jika diletakkan di awal kalimat</w:t>
      </w:r>
    </w:p>
    <w:p w:rsidR="00000000" w:rsidDel="00000000" w:rsidP="00000000" w:rsidRDefault="00000000" w:rsidRPr="00000000" w14:paraId="00000056">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dan tidak boleh memakai huruf miring.</w:t>
      </w:r>
    </w:p>
    <w:p w:rsidR="00000000" w:rsidDel="00000000" w:rsidP="00000000" w:rsidRDefault="00000000" w:rsidRPr="00000000" w14:paraId="00000057">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o Jika halaman yang diacu sama dengan catatan kaki yang tepat di</w:t>
      </w:r>
    </w:p>
    <w:p w:rsidR="00000000" w:rsidDel="00000000" w:rsidP="00000000" w:rsidRDefault="00000000" w:rsidRPr="00000000" w14:paraId="00000058">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atasnya maka tanda koma dan nomor halaman setelah ibid tidak perlu</w:t>
      </w:r>
    </w:p>
    <w:p w:rsidR="00000000" w:rsidDel="00000000" w:rsidP="00000000" w:rsidRDefault="00000000" w:rsidRPr="00000000" w14:paraId="00000059">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dicantumkan.</w:t>
      </w:r>
    </w:p>
    <w:p w:rsidR="00000000" w:rsidDel="00000000" w:rsidP="00000000" w:rsidRDefault="00000000" w:rsidRPr="00000000" w14:paraId="0000005A">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tl w:val="0"/>
        </w:rPr>
      </w:r>
    </w:p>
    <w:p w:rsidR="00000000" w:rsidDel="00000000" w:rsidP="00000000" w:rsidRDefault="00000000" w:rsidRPr="00000000" w14:paraId="0000005B">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Contoh:</w:t>
      </w:r>
    </w:p>
    <w:p w:rsidR="00000000" w:rsidDel="00000000" w:rsidP="00000000" w:rsidRDefault="00000000" w:rsidRPr="00000000" w14:paraId="0000005C">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1 T.B. Simatupang, Iman Kristen dan Pancasila (Jakarta: BPK Gunung Mulia,</w:t>
      </w:r>
    </w:p>
    <w:p w:rsidR="00000000" w:rsidDel="00000000" w:rsidP="00000000" w:rsidRDefault="00000000" w:rsidRPr="00000000" w14:paraId="0000005D">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1997), 52.</w:t>
      </w:r>
    </w:p>
    <w:p w:rsidR="00000000" w:rsidDel="00000000" w:rsidP="00000000" w:rsidRDefault="00000000" w:rsidRPr="00000000" w14:paraId="0000005E">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2 Ibid, 34.</w:t>
      </w:r>
    </w:p>
    <w:p w:rsidR="00000000" w:rsidDel="00000000" w:rsidP="00000000" w:rsidRDefault="00000000" w:rsidRPr="00000000" w14:paraId="0000005F">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tl w:val="0"/>
        </w:rPr>
      </w:r>
    </w:p>
    <w:p w:rsidR="00000000" w:rsidDel="00000000" w:rsidP="00000000" w:rsidRDefault="00000000" w:rsidRPr="00000000" w14:paraId="00000060">
      <w:pPr>
        <w:tabs>
          <w:tab w:val="left" w:leader="none" w:pos="-3870"/>
        </w:tabs>
        <w:spacing w:after="0" w:line="300" w:lineRule="auto"/>
        <w:ind w:right="-6"/>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Pengutipan Jika sebuah buku lebih dari satu penulis</w:t>
      </w:r>
    </w:p>
    <w:p w:rsidR="00000000" w:rsidDel="00000000" w:rsidP="00000000" w:rsidRDefault="00000000" w:rsidRPr="00000000" w14:paraId="00000061">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Catatan Kaki (CK)</w:t>
      </w:r>
    </w:p>
    <w:p w:rsidR="00000000" w:rsidDel="00000000" w:rsidP="00000000" w:rsidRDefault="00000000" w:rsidRPr="00000000" w14:paraId="00000062">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Daud Adiprasetya dan Joas Adiprasetya, Dilarang Kencing Di Sini: Khayal dan</w:t>
      </w:r>
    </w:p>
    <w:p w:rsidR="00000000" w:rsidDel="00000000" w:rsidP="00000000" w:rsidRDefault="00000000" w:rsidRPr="00000000" w14:paraId="00000063">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Perenungan Dua Pendeta dari Dua Generasi (Jakarta: Grafika KreasIndo, 2011), 19.</w:t>
      </w:r>
    </w:p>
    <w:p w:rsidR="00000000" w:rsidDel="00000000" w:rsidP="00000000" w:rsidRDefault="00000000" w:rsidRPr="00000000" w14:paraId="00000064">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Daftar Pustaka (DP)</w:t>
      </w:r>
    </w:p>
    <w:p w:rsidR="00000000" w:rsidDel="00000000" w:rsidP="00000000" w:rsidRDefault="00000000" w:rsidRPr="00000000" w14:paraId="00000065">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Adiprasetya Daud dan Joas Adiprasetya, Dilarang Kencing Di Sini: Khayal dan</w:t>
      </w:r>
    </w:p>
    <w:p w:rsidR="00000000" w:rsidDel="00000000" w:rsidP="00000000" w:rsidRDefault="00000000" w:rsidRPr="00000000" w14:paraId="00000066">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Perenungan Dua Pendeta dari Dua Generasi. Jakarta: Grafika KreasIndo, 2011.</w:t>
      </w:r>
    </w:p>
    <w:p w:rsidR="00000000" w:rsidDel="00000000" w:rsidP="00000000" w:rsidRDefault="00000000" w:rsidRPr="00000000" w14:paraId="00000067">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tl w:val="0"/>
        </w:rPr>
      </w:r>
    </w:p>
    <w:p w:rsidR="00000000" w:rsidDel="00000000" w:rsidP="00000000" w:rsidRDefault="00000000" w:rsidRPr="00000000" w14:paraId="00000068">
      <w:pPr>
        <w:tabs>
          <w:tab w:val="left" w:leader="none" w:pos="-3870"/>
        </w:tabs>
        <w:spacing w:after="0" w:line="300" w:lineRule="auto"/>
        <w:ind w:right="-6"/>
        <w:jc w:val="both"/>
        <w:rPr>
          <w:rFonts w:ascii="Cambria" w:cs="Cambria" w:eastAsia="Cambria" w:hAnsi="Cambria"/>
          <w:b w:val="1"/>
          <w:sz w:val="24"/>
          <w:szCs w:val="24"/>
        </w:rPr>
      </w:pPr>
      <w:r w:rsidDel="00000000" w:rsidR="00000000" w:rsidRPr="00000000">
        <w:rPr>
          <w:rtl w:val="0"/>
        </w:rPr>
      </w:r>
    </w:p>
    <w:p w:rsidR="00000000" w:rsidDel="00000000" w:rsidP="00000000" w:rsidRDefault="00000000" w:rsidRPr="00000000" w14:paraId="00000069">
      <w:pPr>
        <w:tabs>
          <w:tab w:val="left" w:leader="none" w:pos="-3870"/>
        </w:tabs>
        <w:spacing w:after="0" w:line="300" w:lineRule="auto"/>
        <w:ind w:right="-6"/>
        <w:jc w:val="both"/>
        <w:rPr>
          <w:rFonts w:ascii="Cambria" w:cs="Cambria" w:eastAsia="Cambria" w:hAnsi="Cambria"/>
          <w:b w:val="1"/>
          <w:sz w:val="24"/>
          <w:szCs w:val="24"/>
        </w:rPr>
      </w:pPr>
      <w:r w:rsidDel="00000000" w:rsidR="00000000" w:rsidRPr="00000000">
        <w:rPr>
          <w:rtl w:val="0"/>
        </w:rPr>
      </w:r>
    </w:p>
    <w:p w:rsidR="00000000" w:rsidDel="00000000" w:rsidP="00000000" w:rsidRDefault="00000000" w:rsidRPr="00000000" w14:paraId="0000006A">
      <w:pPr>
        <w:tabs>
          <w:tab w:val="left" w:leader="none" w:pos="-3870"/>
        </w:tabs>
        <w:spacing w:after="0" w:line="300" w:lineRule="auto"/>
        <w:ind w:right="-6"/>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Bab Dalam Buku</w:t>
      </w:r>
    </w:p>
    <w:p w:rsidR="00000000" w:rsidDel="00000000" w:rsidP="00000000" w:rsidRDefault="00000000" w:rsidRPr="00000000" w14:paraId="0000006B">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CK</w:t>
      </w:r>
    </w:p>
    <w:p w:rsidR="00000000" w:rsidDel="00000000" w:rsidP="00000000" w:rsidRDefault="00000000" w:rsidRPr="00000000" w14:paraId="0000006C">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Trisno S. Sutanto, “Dalam Horison Keterbatasan: Nietzsche Nihilisme dan</w:t>
      </w:r>
    </w:p>
    <w:p w:rsidR="00000000" w:rsidDel="00000000" w:rsidP="00000000" w:rsidRDefault="00000000" w:rsidRPr="00000000" w14:paraId="0000006D">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Kita,” dalam Agama-agama di Tengah-tengah Budaya Global, Peny. Erick J. Barus</w:t>
      </w:r>
    </w:p>
    <w:p w:rsidR="00000000" w:rsidDel="00000000" w:rsidP="00000000" w:rsidRDefault="00000000" w:rsidRPr="00000000" w14:paraId="0000006E">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(Jakarta: Bidang Marturia-PGI, 2009), 86.</w:t>
      </w:r>
    </w:p>
    <w:p w:rsidR="00000000" w:rsidDel="00000000" w:rsidP="00000000" w:rsidRDefault="00000000" w:rsidRPr="00000000" w14:paraId="0000006F">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DP</w:t>
      </w:r>
    </w:p>
    <w:p w:rsidR="00000000" w:rsidDel="00000000" w:rsidP="00000000" w:rsidRDefault="00000000" w:rsidRPr="00000000" w14:paraId="00000070">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Sutanto Trisno S. “Dalam Horison Keterbatasan: Nietzsche Nihilisme dan Kita,” dalam</w:t>
      </w:r>
    </w:p>
    <w:p w:rsidR="00000000" w:rsidDel="00000000" w:rsidP="00000000" w:rsidRDefault="00000000" w:rsidRPr="00000000" w14:paraId="00000071">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Agama-agama di Tengah-tengah Budaya Global, Peny. Erick J. Barus, 74-93</w:t>
      </w:r>
    </w:p>
    <w:p w:rsidR="00000000" w:rsidDel="00000000" w:rsidP="00000000" w:rsidRDefault="00000000" w:rsidRPr="00000000" w14:paraId="00000072">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Jakarta: Bidang Marturia-PGI, 2009.</w:t>
      </w:r>
    </w:p>
    <w:p w:rsidR="00000000" w:rsidDel="00000000" w:rsidP="00000000" w:rsidRDefault="00000000" w:rsidRPr="00000000" w14:paraId="00000073">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tl w:val="0"/>
        </w:rPr>
      </w:r>
    </w:p>
    <w:p w:rsidR="00000000" w:rsidDel="00000000" w:rsidP="00000000" w:rsidRDefault="00000000" w:rsidRPr="00000000" w14:paraId="00000074">
      <w:pPr>
        <w:tabs>
          <w:tab w:val="left" w:leader="none" w:pos="-3870"/>
        </w:tabs>
        <w:spacing w:after="0" w:line="300" w:lineRule="auto"/>
        <w:ind w:right="-6"/>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Buku Yang Diterjemahkan</w:t>
      </w:r>
    </w:p>
    <w:p w:rsidR="00000000" w:rsidDel="00000000" w:rsidP="00000000" w:rsidRDefault="00000000" w:rsidRPr="00000000" w14:paraId="00000075">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CK</w:t>
      </w:r>
    </w:p>
    <w:p w:rsidR="00000000" w:rsidDel="00000000" w:rsidP="00000000" w:rsidRDefault="00000000" w:rsidRPr="00000000" w14:paraId="00000076">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Albert Nolan, Yesus Bukan Orang Kristen? Terjemahan I Suharyo (Yogyakarta:</w:t>
      </w:r>
    </w:p>
    <w:p w:rsidR="00000000" w:rsidDel="00000000" w:rsidP="00000000" w:rsidRDefault="00000000" w:rsidRPr="00000000" w14:paraId="00000077">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Kanisius, 2005), 78.</w:t>
      </w:r>
    </w:p>
    <w:p w:rsidR="00000000" w:rsidDel="00000000" w:rsidP="00000000" w:rsidRDefault="00000000" w:rsidRPr="00000000" w14:paraId="00000078">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DP</w:t>
      </w:r>
    </w:p>
    <w:p w:rsidR="00000000" w:rsidDel="00000000" w:rsidP="00000000" w:rsidRDefault="00000000" w:rsidRPr="00000000" w14:paraId="00000079">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Nolan, Albert. Yesus Bukan Orang Kristen? Terjemahan I Suharyo. Yogyakarta:</w:t>
      </w:r>
    </w:p>
    <w:p w:rsidR="00000000" w:rsidDel="00000000" w:rsidP="00000000" w:rsidRDefault="00000000" w:rsidRPr="00000000" w14:paraId="0000007A">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Kanisius, 2005.</w:t>
      </w:r>
    </w:p>
    <w:p w:rsidR="00000000" w:rsidDel="00000000" w:rsidP="00000000" w:rsidRDefault="00000000" w:rsidRPr="00000000" w14:paraId="0000007B">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tl w:val="0"/>
        </w:rPr>
      </w:r>
    </w:p>
    <w:p w:rsidR="00000000" w:rsidDel="00000000" w:rsidP="00000000" w:rsidRDefault="00000000" w:rsidRPr="00000000" w14:paraId="0000007C">
      <w:pPr>
        <w:tabs>
          <w:tab w:val="left" w:leader="none" w:pos="-3870"/>
        </w:tabs>
        <w:spacing w:after="0" w:line="300" w:lineRule="auto"/>
        <w:ind w:right="-6"/>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Buku Yang Diedit</w:t>
      </w:r>
    </w:p>
    <w:p w:rsidR="00000000" w:rsidDel="00000000" w:rsidP="00000000" w:rsidRDefault="00000000" w:rsidRPr="00000000" w14:paraId="0000007D">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CK</w:t>
      </w:r>
    </w:p>
    <w:p w:rsidR="00000000" w:rsidDel="00000000" w:rsidP="00000000" w:rsidRDefault="00000000" w:rsidRPr="00000000" w14:paraId="0000007E">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Ati H. Rambe, Peny. Teologi Bencana: Pergumulan Iman dalam Konteks</w:t>
      </w:r>
    </w:p>
    <w:p w:rsidR="00000000" w:rsidDel="00000000" w:rsidP="00000000" w:rsidRDefault="00000000" w:rsidRPr="00000000" w14:paraId="0000007F">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Bencana Alam dan Bencana Sosial (Makassar: Oase Intim, 2006), 159.</w:t>
      </w:r>
    </w:p>
    <w:p w:rsidR="00000000" w:rsidDel="00000000" w:rsidP="00000000" w:rsidRDefault="00000000" w:rsidRPr="00000000" w14:paraId="00000080">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DP</w:t>
      </w:r>
    </w:p>
    <w:p w:rsidR="00000000" w:rsidDel="00000000" w:rsidP="00000000" w:rsidRDefault="00000000" w:rsidRPr="00000000" w14:paraId="00000081">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Rambe, Ati H. Peny. Teologi Bencana: Pergumulan Iman dalam Konteks Bencana Alam</w:t>
      </w:r>
    </w:p>
    <w:p w:rsidR="00000000" w:rsidDel="00000000" w:rsidP="00000000" w:rsidRDefault="00000000" w:rsidRPr="00000000" w14:paraId="00000082">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dan Bencana Sosial. Makassar: Oase Intim, 2006.</w:t>
      </w:r>
    </w:p>
    <w:p w:rsidR="00000000" w:rsidDel="00000000" w:rsidP="00000000" w:rsidRDefault="00000000" w:rsidRPr="00000000" w14:paraId="00000083">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tl w:val="0"/>
        </w:rPr>
      </w:r>
    </w:p>
    <w:p w:rsidR="00000000" w:rsidDel="00000000" w:rsidP="00000000" w:rsidRDefault="00000000" w:rsidRPr="00000000" w14:paraId="00000084">
      <w:pPr>
        <w:tabs>
          <w:tab w:val="left" w:leader="none" w:pos="-3870"/>
        </w:tabs>
        <w:spacing w:after="0" w:line="300" w:lineRule="auto"/>
        <w:ind w:right="-6"/>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Artikel Dari Jurnal atau Majalah</w:t>
      </w:r>
    </w:p>
    <w:p w:rsidR="00000000" w:rsidDel="00000000" w:rsidP="00000000" w:rsidRDefault="00000000" w:rsidRPr="00000000" w14:paraId="00000085">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CK</w:t>
      </w:r>
    </w:p>
    <w:p w:rsidR="00000000" w:rsidDel="00000000" w:rsidP="00000000" w:rsidRDefault="00000000" w:rsidRPr="00000000" w14:paraId="00000086">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Helmi Syaifuddin, “Sastra Al-Quran di Tengah Aliran Sastra Indonesia,” Lingua:</w:t>
      </w:r>
    </w:p>
    <w:p w:rsidR="00000000" w:rsidDel="00000000" w:rsidP="00000000" w:rsidRDefault="00000000" w:rsidRPr="00000000" w14:paraId="00000087">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Jurnal Ilmu Bahasa dan Sastra 1, no.2 (Desember 2006): 65.</w:t>
      </w:r>
    </w:p>
    <w:p w:rsidR="00000000" w:rsidDel="00000000" w:rsidP="00000000" w:rsidRDefault="00000000" w:rsidRPr="00000000" w14:paraId="00000088">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DP</w:t>
      </w:r>
    </w:p>
    <w:p w:rsidR="00000000" w:rsidDel="00000000" w:rsidP="00000000" w:rsidRDefault="00000000" w:rsidRPr="00000000" w14:paraId="00000089">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Syaifuddin, Helmi. “Sastra Al-Quran di Tengah Aliran Sastra Indonesia,” Lingua:</w:t>
      </w:r>
    </w:p>
    <w:p w:rsidR="00000000" w:rsidDel="00000000" w:rsidP="00000000" w:rsidRDefault="00000000" w:rsidRPr="00000000" w14:paraId="0000008A">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Jurnal Ilmu Bahasa dan Sastra 1, no.2 (Desember 2006): 50-65.</w:t>
      </w:r>
    </w:p>
    <w:p w:rsidR="00000000" w:rsidDel="00000000" w:rsidP="00000000" w:rsidRDefault="00000000" w:rsidRPr="00000000" w14:paraId="0000008B">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tl w:val="0"/>
        </w:rPr>
      </w:r>
    </w:p>
    <w:p w:rsidR="00000000" w:rsidDel="00000000" w:rsidP="00000000" w:rsidRDefault="00000000" w:rsidRPr="00000000" w14:paraId="0000008C">
      <w:pPr>
        <w:tabs>
          <w:tab w:val="left" w:leader="none" w:pos="-3870"/>
        </w:tabs>
        <w:spacing w:after="0" w:line="300" w:lineRule="auto"/>
        <w:ind w:right="-6"/>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Artikel dari Koran</w:t>
      </w:r>
    </w:p>
    <w:p w:rsidR="00000000" w:rsidDel="00000000" w:rsidP="00000000" w:rsidRDefault="00000000" w:rsidRPr="00000000" w14:paraId="0000008D">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CK</w:t>
      </w:r>
    </w:p>
    <w:p w:rsidR="00000000" w:rsidDel="00000000" w:rsidP="00000000" w:rsidRDefault="00000000" w:rsidRPr="00000000" w14:paraId="0000008E">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Yonky Karman, “Robohnya Kesalehan Sosial,” Kompas 14 Juni 2004.</w:t>
      </w:r>
    </w:p>
    <w:p w:rsidR="00000000" w:rsidDel="00000000" w:rsidP="00000000" w:rsidRDefault="00000000" w:rsidRPr="00000000" w14:paraId="0000008F">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DP</w:t>
      </w:r>
    </w:p>
    <w:p w:rsidR="00000000" w:rsidDel="00000000" w:rsidP="00000000" w:rsidRDefault="00000000" w:rsidRPr="00000000" w14:paraId="00000090">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Karman, Yonky. “Robohnya Kesalehan Sosial,” Kompas 14 Juni 2004.</w:t>
      </w:r>
    </w:p>
    <w:p w:rsidR="00000000" w:rsidDel="00000000" w:rsidP="00000000" w:rsidRDefault="00000000" w:rsidRPr="00000000" w14:paraId="00000091">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tl w:val="0"/>
        </w:rPr>
      </w:r>
    </w:p>
    <w:p w:rsidR="00000000" w:rsidDel="00000000" w:rsidP="00000000" w:rsidRDefault="00000000" w:rsidRPr="00000000" w14:paraId="00000092">
      <w:pPr>
        <w:tabs>
          <w:tab w:val="left" w:leader="none" w:pos="-3870"/>
        </w:tabs>
        <w:spacing w:after="0" w:line="300" w:lineRule="auto"/>
        <w:ind w:right="-6"/>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Makalah Seminar</w:t>
      </w:r>
    </w:p>
    <w:p w:rsidR="00000000" w:rsidDel="00000000" w:rsidP="00000000" w:rsidRDefault="00000000" w:rsidRPr="00000000" w14:paraId="00000093">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CK</w:t>
      </w:r>
    </w:p>
    <w:p w:rsidR="00000000" w:rsidDel="00000000" w:rsidP="00000000" w:rsidRDefault="00000000" w:rsidRPr="00000000" w14:paraId="00000094">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Philipus Tule, “Bermisi dalam Semangat Dialog dengan Islam” (ceramah, STFT</w:t>
      </w:r>
    </w:p>
    <w:p w:rsidR="00000000" w:rsidDel="00000000" w:rsidP="00000000" w:rsidRDefault="00000000" w:rsidRPr="00000000" w14:paraId="00000095">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Widya Sasana, Malang, 4 Desember 1991).</w:t>
      </w:r>
    </w:p>
    <w:p w:rsidR="00000000" w:rsidDel="00000000" w:rsidP="00000000" w:rsidRDefault="00000000" w:rsidRPr="00000000" w14:paraId="00000096">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DP</w:t>
      </w:r>
    </w:p>
    <w:p w:rsidR="00000000" w:rsidDel="00000000" w:rsidP="00000000" w:rsidRDefault="00000000" w:rsidRPr="00000000" w14:paraId="00000097">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Tule, Philipus. “Bermisi dalam Semangat Dialog dengan Islam” ceramah, STFT Widya</w:t>
      </w:r>
    </w:p>
    <w:p w:rsidR="00000000" w:rsidDel="00000000" w:rsidP="00000000" w:rsidRDefault="00000000" w:rsidRPr="00000000" w14:paraId="00000098">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Sasana, Malang, 4 Desember 1991.</w:t>
      </w:r>
    </w:p>
    <w:p w:rsidR="00000000" w:rsidDel="00000000" w:rsidP="00000000" w:rsidRDefault="00000000" w:rsidRPr="00000000" w14:paraId="00000099">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tl w:val="0"/>
        </w:rPr>
      </w:r>
    </w:p>
    <w:p w:rsidR="00000000" w:rsidDel="00000000" w:rsidP="00000000" w:rsidRDefault="00000000" w:rsidRPr="00000000" w14:paraId="0000009A">
      <w:pPr>
        <w:tabs>
          <w:tab w:val="left" w:leader="none" w:pos="-3870"/>
        </w:tabs>
        <w:spacing w:after="0" w:line="300" w:lineRule="auto"/>
        <w:ind w:right="-6"/>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Skripsi, Tesis atau Disertasi Yang Belum Diterbitkan</w:t>
      </w:r>
    </w:p>
    <w:p w:rsidR="00000000" w:rsidDel="00000000" w:rsidP="00000000" w:rsidRDefault="00000000" w:rsidRPr="00000000" w14:paraId="0000009B">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CK</w:t>
      </w:r>
    </w:p>
    <w:p w:rsidR="00000000" w:rsidDel="00000000" w:rsidP="00000000" w:rsidRDefault="00000000" w:rsidRPr="00000000" w14:paraId="0000009C">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Hypatia Vourloumis, “Alternations: Performing Indonesian Communicability”</w:t>
      </w:r>
    </w:p>
    <w:p w:rsidR="00000000" w:rsidDel="00000000" w:rsidP="00000000" w:rsidRDefault="00000000" w:rsidRPr="00000000" w14:paraId="0000009D">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(Disertasi Ph.D., New York University, 2007), 281.</w:t>
      </w:r>
    </w:p>
    <w:p w:rsidR="00000000" w:rsidDel="00000000" w:rsidP="00000000" w:rsidRDefault="00000000" w:rsidRPr="00000000" w14:paraId="0000009E">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DP</w:t>
      </w:r>
    </w:p>
    <w:p w:rsidR="00000000" w:rsidDel="00000000" w:rsidP="00000000" w:rsidRDefault="00000000" w:rsidRPr="00000000" w14:paraId="0000009F">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Vourloumis, Hypatia. “Alternations: Performing Indonesian Communicability”</w:t>
      </w:r>
    </w:p>
    <w:p w:rsidR="00000000" w:rsidDel="00000000" w:rsidP="00000000" w:rsidRDefault="00000000" w:rsidRPr="00000000" w14:paraId="000000A0">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Disertasi Ph.D., New York University, 2007.</w:t>
      </w:r>
    </w:p>
    <w:p w:rsidR="00000000" w:rsidDel="00000000" w:rsidP="00000000" w:rsidRDefault="00000000" w:rsidRPr="00000000" w14:paraId="000000A1">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tl w:val="0"/>
        </w:rPr>
      </w:r>
    </w:p>
    <w:p w:rsidR="00000000" w:rsidDel="00000000" w:rsidP="00000000" w:rsidRDefault="00000000" w:rsidRPr="00000000" w14:paraId="000000A2">
      <w:pPr>
        <w:tabs>
          <w:tab w:val="left" w:leader="none" w:pos="-3870"/>
        </w:tabs>
        <w:spacing w:after="0" w:line="300" w:lineRule="auto"/>
        <w:ind w:right="-6"/>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Website Internet</w:t>
      </w:r>
    </w:p>
    <w:p w:rsidR="00000000" w:rsidDel="00000000" w:rsidP="00000000" w:rsidRDefault="00000000" w:rsidRPr="00000000" w14:paraId="000000A3">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CK</w:t>
      </w:r>
    </w:p>
    <w:p w:rsidR="00000000" w:rsidDel="00000000" w:rsidP="00000000" w:rsidRDefault="00000000" w:rsidRPr="00000000" w14:paraId="000000A4">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Sekolah Tinggi Agama Kristen Negeri Toraja, “Sejarah STAKN Toraja,”</w:t>
      </w:r>
    </w:p>
    <w:p w:rsidR="00000000" w:rsidDel="00000000" w:rsidP="00000000" w:rsidRDefault="00000000" w:rsidRPr="00000000" w14:paraId="000000A5">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http:www.stakntoraja.ac.id (diakses 30 Desember 2018).</w:t>
      </w:r>
    </w:p>
    <w:p w:rsidR="00000000" w:rsidDel="00000000" w:rsidP="00000000" w:rsidRDefault="00000000" w:rsidRPr="00000000" w14:paraId="000000A6">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DP</w:t>
      </w:r>
    </w:p>
    <w:p w:rsidR="00000000" w:rsidDel="00000000" w:rsidP="00000000" w:rsidRDefault="00000000" w:rsidRPr="00000000" w14:paraId="000000A7">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Sekolah Tinggi Agama Kristen Negeri Toraja, “Sejarah STAKN Toraja,”</w:t>
      </w:r>
    </w:p>
    <w:p w:rsidR="00000000" w:rsidDel="00000000" w:rsidP="00000000" w:rsidRDefault="00000000" w:rsidRPr="00000000" w14:paraId="000000A8">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http:www.stakntoraja.ac.id (diakses 30 Desember 2018).</w:t>
      </w:r>
    </w:p>
    <w:p w:rsidR="00000000" w:rsidDel="00000000" w:rsidP="00000000" w:rsidRDefault="00000000" w:rsidRPr="00000000" w14:paraId="000000A9">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tl w:val="0"/>
        </w:rPr>
      </w:r>
    </w:p>
    <w:p w:rsidR="00000000" w:rsidDel="00000000" w:rsidP="00000000" w:rsidRDefault="00000000" w:rsidRPr="00000000" w14:paraId="000000AA">
      <w:pPr>
        <w:tabs>
          <w:tab w:val="left" w:leader="none" w:pos="-3870"/>
        </w:tabs>
        <w:spacing w:after="0" w:line="300" w:lineRule="auto"/>
        <w:ind w:right="-6"/>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Wawancara</w:t>
      </w:r>
    </w:p>
    <w:p w:rsidR="00000000" w:rsidDel="00000000" w:rsidP="00000000" w:rsidRDefault="00000000" w:rsidRPr="00000000" w14:paraId="000000AB">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CK</w:t>
      </w:r>
    </w:p>
    <w:p w:rsidR="00000000" w:rsidDel="00000000" w:rsidP="00000000" w:rsidRDefault="00000000" w:rsidRPr="00000000" w14:paraId="000000AC">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Susilo Bambang Yudhoyono, wawancara oleh Penulis, Jakarta, Indonesia, 31</w:t>
      </w:r>
    </w:p>
    <w:p w:rsidR="00000000" w:rsidDel="00000000" w:rsidP="00000000" w:rsidRDefault="00000000" w:rsidRPr="00000000" w14:paraId="000000AD">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Oktober 2009.</w:t>
      </w:r>
    </w:p>
    <w:p w:rsidR="00000000" w:rsidDel="00000000" w:rsidP="00000000" w:rsidRDefault="00000000" w:rsidRPr="00000000" w14:paraId="000000AE">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DP</w:t>
      </w:r>
    </w:p>
    <w:p w:rsidR="00000000" w:rsidDel="00000000" w:rsidP="00000000" w:rsidRDefault="00000000" w:rsidRPr="00000000" w14:paraId="000000AF">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Yudhoyono, Susilo Bambang, wawancara oleh Penulis, Jakarta, Indonesia, 31</w:t>
      </w:r>
    </w:p>
    <w:p w:rsidR="00000000" w:rsidDel="00000000" w:rsidP="00000000" w:rsidRDefault="00000000" w:rsidRPr="00000000" w14:paraId="000000B0">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Oktorber 2009.</w:t>
      </w:r>
    </w:p>
    <w:p w:rsidR="00000000" w:rsidDel="00000000" w:rsidP="00000000" w:rsidRDefault="00000000" w:rsidRPr="00000000" w14:paraId="000000B1">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tl w:val="0"/>
        </w:rPr>
      </w:r>
    </w:p>
    <w:p w:rsidR="00000000" w:rsidDel="00000000" w:rsidP="00000000" w:rsidRDefault="00000000" w:rsidRPr="00000000" w14:paraId="000000B2">
      <w:pPr>
        <w:tabs>
          <w:tab w:val="left" w:leader="none" w:pos="-3870"/>
        </w:tabs>
        <w:spacing w:after="0" w:line="300" w:lineRule="auto"/>
        <w:ind w:right="-6"/>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Ensiklopedia atau Kamus</w:t>
      </w:r>
    </w:p>
    <w:p w:rsidR="00000000" w:rsidDel="00000000" w:rsidP="00000000" w:rsidRDefault="00000000" w:rsidRPr="00000000" w14:paraId="000000B3">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CK</w:t>
      </w:r>
    </w:p>
    <w:p w:rsidR="00000000" w:rsidDel="00000000" w:rsidP="00000000" w:rsidRDefault="00000000" w:rsidRPr="00000000" w14:paraId="000000B4">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Dictionary of Theology.</w:t>
      </w:r>
    </w:p>
    <w:p w:rsidR="00000000" w:rsidDel="00000000" w:rsidP="00000000" w:rsidRDefault="00000000" w:rsidRPr="00000000" w14:paraId="000000B5">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DP</w:t>
      </w:r>
    </w:p>
    <w:p w:rsidR="00000000" w:rsidDel="00000000" w:rsidP="00000000" w:rsidRDefault="00000000" w:rsidRPr="00000000" w14:paraId="000000B6">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Sunquist, Scott, Peny. A Dictionary of Theology. Grand Rapids: Wm. B. Eerdmans,</w:t>
      </w:r>
    </w:p>
    <w:p w:rsidR="00000000" w:rsidDel="00000000" w:rsidP="00000000" w:rsidRDefault="00000000" w:rsidRPr="00000000" w14:paraId="000000B7">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2001.</w:t>
      </w:r>
    </w:p>
    <w:p w:rsidR="00000000" w:rsidDel="00000000" w:rsidP="00000000" w:rsidRDefault="00000000" w:rsidRPr="00000000" w14:paraId="000000B8">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tl w:val="0"/>
        </w:rPr>
      </w:r>
    </w:p>
    <w:p w:rsidR="00000000" w:rsidDel="00000000" w:rsidP="00000000" w:rsidRDefault="00000000" w:rsidRPr="00000000" w14:paraId="000000B9">
      <w:pPr>
        <w:tabs>
          <w:tab w:val="left" w:leader="none" w:pos="-3870"/>
        </w:tabs>
        <w:spacing w:after="0" w:line="300" w:lineRule="auto"/>
        <w:ind w:right="-6"/>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Sumber yang Dikutip di Sumber Lain</w:t>
      </w:r>
    </w:p>
    <w:p w:rsidR="00000000" w:rsidDel="00000000" w:rsidP="00000000" w:rsidRDefault="00000000" w:rsidRPr="00000000" w14:paraId="000000BA">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CK</w:t>
      </w:r>
    </w:p>
    <w:p w:rsidR="00000000" w:rsidDel="00000000" w:rsidP="00000000" w:rsidRDefault="00000000" w:rsidRPr="00000000" w14:paraId="000000BB">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Louis Zukofsky, “Sincerity and Objectification,” Poetry 37 (February 1931):</w:t>
      </w:r>
    </w:p>
    <w:p w:rsidR="00000000" w:rsidDel="00000000" w:rsidP="00000000" w:rsidRDefault="00000000" w:rsidRPr="00000000" w14:paraId="000000BC">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269, dikutip dalam Bonnie Costello, Marianne Moore: Imaginary Possessions</w:t>
      </w:r>
    </w:p>
    <w:p w:rsidR="00000000" w:rsidDel="00000000" w:rsidP="00000000" w:rsidRDefault="00000000" w:rsidRPr="00000000" w14:paraId="000000BD">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(Cambridge, MA: Harvard University Press, 1981), 78.</w:t>
      </w:r>
    </w:p>
    <w:p w:rsidR="00000000" w:rsidDel="00000000" w:rsidP="00000000" w:rsidRDefault="00000000" w:rsidRPr="00000000" w14:paraId="000000BE">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DP</w:t>
      </w:r>
    </w:p>
    <w:p w:rsidR="00000000" w:rsidDel="00000000" w:rsidP="00000000" w:rsidRDefault="00000000" w:rsidRPr="00000000" w14:paraId="000000BF">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Zukofsky, Louis. “Sincerity and Objectification,” Poetry 37 (February 1931): 269,</w:t>
      </w:r>
    </w:p>
    <w:p w:rsidR="00000000" w:rsidDel="00000000" w:rsidP="00000000" w:rsidRDefault="00000000" w:rsidRPr="00000000" w14:paraId="000000C0">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dikutip dalam Bonnie Costello, Marianne Moore: Imaginary Possessions.</w:t>
      </w:r>
    </w:p>
    <w:p w:rsidR="00000000" w:rsidDel="00000000" w:rsidP="00000000" w:rsidRDefault="00000000" w:rsidRPr="00000000" w14:paraId="000000C1">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Cambridge, MA: Harvard University Press, 1981.</w:t>
      </w:r>
    </w:p>
    <w:p w:rsidR="00000000" w:rsidDel="00000000" w:rsidP="00000000" w:rsidRDefault="00000000" w:rsidRPr="00000000" w14:paraId="000000C2">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tl w:val="0"/>
        </w:rPr>
      </w:r>
    </w:p>
    <w:p w:rsidR="00000000" w:rsidDel="00000000" w:rsidP="00000000" w:rsidRDefault="00000000" w:rsidRPr="00000000" w14:paraId="000000C3">
      <w:pPr>
        <w:tabs>
          <w:tab w:val="left" w:leader="none" w:pos="-3870"/>
        </w:tabs>
        <w:spacing w:after="0" w:line="300" w:lineRule="auto"/>
        <w:ind w:right="-6"/>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Sumber Yang Tidak Mencantumkan Tahun Penerbitan</w:t>
      </w:r>
    </w:p>
    <w:p w:rsidR="00000000" w:rsidDel="00000000" w:rsidP="00000000" w:rsidRDefault="00000000" w:rsidRPr="00000000" w14:paraId="000000C4">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CK</w:t>
      </w:r>
    </w:p>
    <w:p w:rsidR="00000000" w:rsidDel="00000000" w:rsidP="00000000" w:rsidRDefault="00000000" w:rsidRPr="00000000" w14:paraId="000000C5">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D. Ary, L.C. Jacobs, dan A. Razavieh, Pengantar Penelitian Pendidikan,</w:t>
      </w:r>
    </w:p>
    <w:p w:rsidR="00000000" w:rsidDel="00000000" w:rsidP="00000000" w:rsidRDefault="00000000" w:rsidRPr="00000000" w14:paraId="000000C6">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Terjemahan Arief Furchan (Surabaya: Usaha Nasional, t.t.), 84.</w:t>
      </w:r>
    </w:p>
    <w:p w:rsidR="00000000" w:rsidDel="00000000" w:rsidP="00000000" w:rsidRDefault="00000000" w:rsidRPr="00000000" w14:paraId="000000C7">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DP</w:t>
      </w:r>
    </w:p>
    <w:p w:rsidR="00000000" w:rsidDel="00000000" w:rsidP="00000000" w:rsidRDefault="00000000" w:rsidRPr="00000000" w14:paraId="000000C8">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Ary, D. L.C. Jacobs, dan A. Razavieh, Pengantar Penelitian Pendidikan, Terjemahan</w:t>
      </w:r>
    </w:p>
    <w:p w:rsidR="00000000" w:rsidDel="00000000" w:rsidP="00000000" w:rsidRDefault="00000000" w:rsidRPr="00000000" w14:paraId="000000C9">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Arief Furchan Surabaya: Usaha Nasional, t.t.</w:t>
      </w:r>
    </w:p>
    <w:p w:rsidR="00000000" w:rsidDel="00000000" w:rsidP="00000000" w:rsidRDefault="00000000" w:rsidRPr="00000000" w14:paraId="000000CA">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tl w:val="0"/>
        </w:rPr>
      </w:r>
    </w:p>
    <w:p w:rsidR="00000000" w:rsidDel="00000000" w:rsidP="00000000" w:rsidRDefault="00000000" w:rsidRPr="00000000" w14:paraId="000000CB">
      <w:pPr>
        <w:tabs>
          <w:tab w:val="left" w:leader="none" w:pos="-3870"/>
        </w:tabs>
        <w:spacing w:after="0" w:line="300" w:lineRule="auto"/>
        <w:ind w:right="-6"/>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Sumber Dengan Edisi Lain</w:t>
      </w:r>
    </w:p>
    <w:p w:rsidR="00000000" w:rsidDel="00000000" w:rsidP="00000000" w:rsidRDefault="00000000" w:rsidRPr="00000000" w14:paraId="000000CC">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CK</w:t>
      </w:r>
    </w:p>
    <w:p w:rsidR="00000000" w:rsidDel="00000000" w:rsidP="00000000" w:rsidRDefault="00000000" w:rsidRPr="00000000" w14:paraId="000000CD">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Pamustu Eneste, Buku Pintar Penyuntingan Naskah, Ed.ke-2 (Jakarta:</w:t>
      </w:r>
    </w:p>
    <w:p w:rsidR="00000000" w:rsidDel="00000000" w:rsidP="00000000" w:rsidRDefault="00000000" w:rsidRPr="00000000" w14:paraId="000000CE">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Gramedia, 2001), 158.</w:t>
      </w:r>
    </w:p>
    <w:p w:rsidR="00000000" w:rsidDel="00000000" w:rsidP="00000000" w:rsidRDefault="00000000" w:rsidRPr="00000000" w14:paraId="000000CF">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DP</w:t>
      </w:r>
    </w:p>
    <w:p w:rsidR="00000000" w:rsidDel="00000000" w:rsidP="00000000" w:rsidRDefault="00000000" w:rsidRPr="00000000" w14:paraId="000000D0">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Eneste, Pamustu. Buku Pintar Penyuntingan Naskah, Ed.ke-2 (Jakarta: Gramedia,</w:t>
      </w:r>
    </w:p>
    <w:p w:rsidR="00000000" w:rsidDel="00000000" w:rsidP="00000000" w:rsidRDefault="00000000" w:rsidRPr="00000000" w14:paraId="000000D1">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2001), 158.</w:t>
      </w:r>
    </w:p>
    <w:p w:rsidR="00000000" w:rsidDel="00000000" w:rsidP="00000000" w:rsidRDefault="00000000" w:rsidRPr="00000000" w14:paraId="000000D2">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tl w:val="0"/>
        </w:rPr>
      </w:r>
    </w:p>
    <w:p w:rsidR="00000000" w:rsidDel="00000000" w:rsidP="00000000" w:rsidRDefault="00000000" w:rsidRPr="00000000" w14:paraId="000000D3">
      <w:pPr>
        <w:tabs>
          <w:tab w:val="left" w:leader="none" w:pos="-3870"/>
        </w:tabs>
        <w:spacing w:after="0" w:line="300" w:lineRule="auto"/>
        <w:ind w:right="-6"/>
        <w:jc w:val="both"/>
        <w:rPr>
          <w:rFonts w:ascii="Cambria" w:cs="Cambria" w:eastAsia="Cambria" w:hAnsi="Cambria"/>
          <w:b w:val="1"/>
          <w:color w:val="000000"/>
          <w:sz w:val="24"/>
          <w:szCs w:val="24"/>
        </w:rPr>
      </w:pPr>
      <w:r w:rsidDel="00000000" w:rsidR="00000000" w:rsidRPr="00000000">
        <w:rPr>
          <w:rFonts w:ascii="Cambria" w:cs="Cambria" w:eastAsia="Cambria" w:hAnsi="Cambria"/>
          <w:b w:val="1"/>
          <w:color w:val="000000"/>
          <w:sz w:val="24"/>
          <w:szCs w:val="24"/>
          <w:rtl w:val="0"/>
        </w:rPr>
        <w:t xml:space="preserve">Sumber dengan Dua Penerbit Atau Lebih</w:t>
      </w:r>
    </w:p>
    <w:p w:rsidR="00000000" w:rsidDel="00000000" w:rsidP="00000000" w:rsidRDefault="00000000" w:rsidRPr="00000000" w14:paraId="000000D4">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CK</w:t>
      </w:r>
    </w:p>
    <w:p w:rsidR="00000000" w:rsidDel="00000000" w:rsidP="00000000" w:rsidRDefault="00000000" w:rsidRPr="00000000" w14:paraId="000000D5">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Lisa M. Messinger, Abstract Expressionism: Work on Paper (New York:</w:t>
      </w:r>
    </w:p>
    <w:p w:rsidR="00000000" w:rsidDel="00000000" w:rsidP="00000000" w:rsidRDefault="00000000" w:rsidRPr="00000000" w14:paraId="000000D6">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Metropolitian Museum of Art &amp;amp; Atlanta: High Museum of Art, 1992), 121.</w:t>
      </w:r>
    </w:p>
    <w:p w:rsidR="00000000" w:rsidDel="00000000" w:rsidP="00000000" w:rsidRDefault="00000000" w:rsidRPr="00000000" w14:paraId="000000D7">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DP</w:t>
      </w:r>
    </w:p>
    <w:p w:rsidR="00000000" w:rsidDel="00000000" w:rsidP="00000000" w:rsidRDefault="00000000" w:rsidRPr="00000000" w14:paraId="000000D8">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Messinger, Lisa M. Abstract Expressionism: Work on Paper. New York: Metropolitian</w:t>
      </w:r>
    </w:p>
    <w:p w:rsidR="00000000" w:rsidDel="00000000" w:rsidP="00000000" w:rsidRDefault="00000000" w:rsidRPr="00000000" w14:paraId="000000D9">
      <w:pPr>
        <w:tabs>
          <w:tab w:val="left" w:leader="none" w:pos="-3870"/>
        </w:tabs>
        <w:spacing w:after="0" w:line="300" w:lineRule="auto"/>
        <w:ind w:right="-6"/>
        <w:jc w:val="both"/>
        <w:rPr>
          <w:rFonts w:ascii="Cambria" w:cs="Cambria" w:eastAsia="Cambria" w:hAnsi="Cambria"/>
          <w:color w:val="000000"/>
          <w:sz w:val="24"/>
          <w:szCs w:val="24"/>
        </w:rPr>
      </w:pPr>
      <w:r w:rsidDel="00000000" w:rsidR="00000000" w:rsidRPr="00000000">
        <w:rPr>
          <w:rFonts w:ascii="Cambria" w:cs="Cambria" w:eastAsia="Cambria" w:hAnsi="Cambria"/>
          <w:color w:val="000000"/>
          <w:sz w:val="24"/>
          <w:szCs w:val="24"/>
          <w:rtl w:val="0"/>
        </w:rPr>
        <w:t xml:space="preserve">Museum of Art &amp;amp; Atlanta: High Museum of Art, 1992.</w:t>
      </w:r>
    </w:p>
    <w:p w:rsidR="00000000" w:rsidDel="00000000" w:rsidP="00000000" w:rsidRDefault="00000000" w:rsidRPr="00000000" w14:paraId="000000DA">
      <w:pPr>
        <w:widowControl w:val="0"/>
        <w:spacing w:after="0" w:lineRule="auto"/>
        <w:jc w:val="both"/>
        <w:rPr>
          <w:rFonts w:ascii="Cambria" w:cs="Cambria" w:eastAsia="Cambria" w:hAnsi="Cambria"/>
          <w:b w:val="1"/>
          <w:sz w:val="24"/>
          <w:szCs w:val="24"/>
        </w:rPr>
      </w:pPr>
      <w:r w:rsidDel="00000000" w:rsidR="00000000" w:rsidRPr="00000000">
        <w:rPr>
          <w:rtl w:val="0"/>
        </w:rPr>
      </w:r>
    </w:p>
    <w:sectPr>
      <w:headerReference r:id="rId9" w:type="default"/>
      <w:headerReference r:id="rId10" w:type="even"/>
      <w:footerReference r:id="rId11" w:type="default"/>
      <w:footerReference r:id="rId12" w:type="first"/>
      <w:footerReference r:id="rId13" w:type="even"/>
      <w:pgSz w:h="16839" w:w="11907" w:orient="portrait"/>
      <w:pgMar w:bottom="1418" w:top="1418" w:left="1701" w:right="113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Georgia"/>
  <w:font w:name="Microsoft New Tai Lue"/>
  <w:font w:name="NewsGoth Cn BT"/>
  <w:font w:name="Khmer">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1">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rFonts w:ascii="Microsoft New Tai Lue" w:cs="Microsoft New Tai Lue" w:eastAsia="Microsoft New Tai Lue" w:hAnsi="Microsoft New Tai Lue"/>
        <w:color w:val="000000"/>
        <w:sz w:val="18"/>
        <w:szCs w:val="18"/>
      </w:rPr>
    </w:pPr>
    <w:r w:rsidDel="00000000" w:rsidR="00000000" w:rsidRPr="00000000">
      <w:rPr>
        <w:rtl w:val="0"/>
      </w:rPr>
    </w:r>
  </w:p>
  <w:p w:rsidR="00000000" w:rsidDel="00000000" w:rsidP="00000000" w:rsidRDefault="00000000" w:rsidRPr="00000000" w14:paraId="000000E2">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rFonts w:ascii="Microsoft New Tai Lue" w:cs="Microsoft New Tai Lue" w:eastAsia="Microsoft New Tai Lue" w:hAnsi="Microsoft New Tai Lue"/>
        <w:color w:val="000000"/>
        <w:sz w:val="18"/>
        <w:szCs w:val="18"/>
      </w:rPr>
    </w:pPr>
    <w:r w:rsidDel="00000000" w:rsidR="00000000" w:rsidRPr="00000000">
      <w:rPr>
        <w:rtl w:val="0"/>
      </w:rPr>
    </w:r>
  </w:p>
  <w:p w:rsidR="00000000" w:rsidDel="00000000" w:rsidP="00000000" w:rsidRDefault="00000000" w:rsidRPr="00000000" w14:paraId="000000E3">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color w:val="000000"/>
      </w:rPr>
    </w:pPr>
    <w:r w:rsidDel="00000000" w:rsidR="00000000" w:rsidRPr="00000000">
      <w:rPr>
        <w:rFonts w:ascii="Microsoft New Tai Lue" w:cs="Microsoft New Tai Lue" w:eastAsia="Microsoft New Tai Lue" w:hAnsi="Microsoft New Tai Lue"/>
        <w:color w:val="000000"/>
        <w:sz w:val="18"/>
        <w:szCs w:val="18"/>
        <w:rtl w:val="0"/>
      </w:rPr>
      <w:t xml:space="preserve">Copyright© 202</w:t>
    </w:r>
    <w:r w:rsidDel="00000000" w:rsidR="00000000" w:rsidRPr="00000000">
      <w:rPr>
        <w:rFonts w:ascii="Microsoft New Tai Lue" w:cs="Microsoft New Tai Lue" w:eastAsia="Microsoft New Tai Lue" w:hAnsi="Microsoft New Tai Lue"/>
        <w:sz w:val="18"/>
        <w:szCs w:val="18"/>
        <w:rtl w:val="0"/>
      </w:rPr>
      <w:t xml:space="preserve">2</w:t>
    </w:r>
    <w:r w:rsidDel="00000000" w:rsidR="00000000" w:rsidRPr="00000000">
      <w:rPr>
        <w:rFonts w:ascii="Microsoft New Tai Lue" w:cs="Microsoft New Tai Lue" w:eastAsia="Microsoft New Tai Lue" w:hAnsi="Microsoft New Tai Lue"/>
        <w:color w:val="000000"/>
        <w:sz w:val="18"/>
        <w:szCs w:val="18"/>
        <w:rtl w:val="0"/>
      </w:rPr>
      <w:t xml:space="preserve">;</w:t>
    </w:r>
    <w:r w:rsidDel="00000000" w:rsidR="00000000" w:rsidRPr="00000000">
      <w:rPr>
        <w:rFonts w:ascii="Microsoft New Tai Lue" w:cs="Microsoft New Tai Lue" w:eastAsia="Microsoft New Tai Lue" w:hAnsi="Microsoft New Tai Lue"/>
        <w:sz w:val="18"/>
        <w:szCs w:val="18"/>
        <w:rtl w:val="0"/>
      </w:rPr>
      <w:t xml:space="preserve">Authors</w:t>
    </w:r>
    <w:r w:rsidDel="00000000" w:rsidR="00000000" w:rsidRPr="00000000">
      <w:rPr>
        <w:rFonts w:ascii="Khmer" w:cs="Khmer" w:eastAsia="Khmer" w:hAnsi="Khmer"/>
        <w:color w:val="000000"/>
        <w:sz w:val="18"/>
        <w:szCs w:val="18"/>
        <w:rtl w:val="0"/>
      </w:rPr>
      <w:t xml:space="preserve"> </w:t>
    </w:r>
    <w:r w:rsidDel="00000000" w:rsidR="00000000" w:rsidRPr="00000000">
      <w:rPr>
        <w:color w:val="000000"/>
        <w:rtl w:val="0"/>
      </w:rPr>
      <w:t xml:space="preserve">| </w:t>
    </w:r>
    <w:r w:rsidDel="00000000" w:rsidR="00000000" w:rsidRPr="00000000">
      <w:rPr>
        <w:color w:val="000000"/>
      </w:rPr>
      <w:fldChar w:fldCharType="begin"/>
      <w:instrText xml:space="preserve">PAGE</w:instrText>
      <w:fldChar w:fldCharType="separate"/>
      <w:fldChar w:fldCharType="end"/>
    </w:r>
    <w:r w:rsidDel="00000000" w:rsidR="00000000" w:rsidRPr="00000000">
      <w:rPr>
        <w:color w:val="000000"/>
        <w:rtl w:val="0"/>
      </w:rPr>
      <w:t xml:space="preserve"> </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4">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rtl w:val="0"/>
      </w:rPr>
    </w:r>
  </w:p>
  <w:p w:rsidR="00000000" w:rsidDel="00000000" w:rsidP="00000000" w:rsidRDefault="00000000" w:rsidRPr="00000000" w14:paraId="000000E5">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rtl w:val="0"/>
      </w:rPr>
    </w:r>
  </w:p>
  <w:p w:rsidR="00000000" w:rsidDel="00000000" w:rsidP="00000000" w:rsidRDefault="00000000" w:rsidRPr="00000000" w14:paraId="000000E6">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right"/>
      <w:rPr>
        <w:color w:val="000000"/>
      </w:rPr>
    </w:pPr>
    <w:r w:rsidDel="00000000" w:rsidR="00000000" w:rsidRPr="00000000">
      <w:rPr>
        <w:rFonts w:ascii="Microsoft New Tai Lue" w:cs="Microsoft New Tai Lue" w:eastAsia="Microsoft New Tai Lue" w:hAnsi="Microsoft New Tai Lue"/>
        <w:sz w:val="18"/>
        <w:szCs w:val="18"/>
        <w:rtl w:val="0"/>
      </w:rPr>
      <w:t xml:space="preserve">Copyright© 2022; Authors</w:t>
    </w:r>
    <w:r w:rsidDel="00000000" w:rsidR="00000000" w:rsidRPr="00000000">
      <w:rPr>
        <w:rFonts w:ascii="Khmer" w:cs="Khmer" w:eastAsia="Khmer" w:hAnsi="Khmer"/>
        <w:color w:val="000000"/>
        <w:sz w:val="18"/>
        <w:szCs w:val="18"/>
        <w:rtl w:val="0"/>
      </w:rPr>
      <w:t xml:space="preserve"> </w:t>
    </w:r>
    <w:r w:rsidDel="00000000" w:rsidR="00000000" w:rsidRPr="00000000">
      <w:rPr>
        <w:color w:val="000000"/>
        <w:rtl w:val="0"/>
      </w:rPr>
      <w:t xml:space="preserve">| </w:t>
    </w:r>
    <w:r w:rsidDel="00000000" w:rsidR="00000000" w:rsidRPr="00000000">
      <w:rPr>
        <w:color w:val="000000"/>
      </w:rPr>
      <w:fldChar w:fldCharType="begin"/>
      <w:instrText xml:space="preserve">PAGE</w:instrText>
      <w:fldChar w:fldCharType="separate"/>
      <w:fldChar w:fldCharType="end"/>
    </w:r>
    <w:r w:rsidDel="00000000" w:rsidR="00000000" w:rsidRPr="00000000">
      <w:rPr>
        <w:color w:val="000000"/>
        <w:rtl w:val="0"/>
      </w:rPr>
      <w:t xml:space="preserve"> </w:t>
    </w:r>
  </w:p>
  <w:p w:rsidR="00000000" w:rsidDel="00000000" w:rsidP="00000000" w:rsidRDefault="00000000" w:rsidRPr="00000000" w14:paraId="000000E7">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8">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rtl w:val="0"/>
      </w:rPr>
    </w:r>
  </w:p>
  <w:p w:rsidR="00000000" w:rsidDel="00000000" w:rsidP="00000000" w:rsidRDefault="00000000" w:rsidRPr="00000000" w14:paraId="000000E9">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center"/>
      <w:rPr>
        <w:color w:val="00000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-651507</wp:posOffset>
          </wp:positionH>
          <wp:positionV relativeFrom="paragraph">
            <wp:posOffset>34925</wp:posOffset>
          </wp:positionV>
          <wp:extent cx="590550" cy="207645"/>
          <wp:effectExtent b="0" l="0" r="0" t="0"/>
          <wp:wrapNone/>
          <wp:docPr descr="is licensed under a Creative Commons Attribution-NonCommercial-NoDerivs (CC BY-NC-ND)." id="1837382924" name="image1.png"/>
          <a:graphic>
            <a:graphicData uri="http://schemas.openxmlformats.org/drawingml/2006/picture">
              <pic:pic>
                <pic:nvPicPr>
                  <pic:cNvPr descr="is licensed under a Creative Commons Attribution-NonCommercial-NoDerivs (CC BY-NC-ND)." id="0" name="image1.png"/>
                  <pic:cNvPicPr preferRelativeResize="0"/>
                </pic:nvPicPr>
                <pic:blipFill>
                  <a:blip r:embed="rId1"/>
                  <a:srcRect b="0" l="0" r="0" t="0"/>
                  <a:stretch>
                    <a:fillRect/>
                  </a:stretch>
                </pic:blipFill>
                <pic:spPr>
                  <a:xfrm>
                    <a:off x="0" y="0"/>
                    <a:ext cx="590550" cy="207645"/>
                  </a:xfrm>
                  <a:prstGeom prst="rect"/>
                  <a:ln/>
                </pic:spPr>
              </pic:pic>
            </a:graphicData>
          </a:graphic>
        </wp:anchor>
      </w:drawing>
    </w:r>
  </w:p>
  <w:p w:rsidR="00000000" w:rsidDel="00000000" w:rsidP="00000000" w:rsidRDefault="00000000" w:rsidRPr="00000000" w14:paraId="000000EA">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jc w:val="both"/>
      <w:rPr>
        <w:rFonts w:ascii="Microsoft New Tai Lue" w:cs="Microsoft New Tai Lue" w:eastAsia="Microsoft New Tai Lue" w:hAnsi="Microsoft New Tai Lue"/>
        <w:color w:val="000000"/>
        <w:sz w:val="18"/>
        <w:szCs w:val="18"/>
      </w:rPr>
    </w:pPr>
    <w:r w:rsidDel="00000000" w:rsidR="00000000" w:rsidRPr="00000000">
      <w:rPr>
        <w:rFonts w:ascii="Microsoft New Tai Lue" w:cs="Microsoft New Tai Lue" w:eastAsia="Microsoft New Tai Lue" w:hAnsi="Microsoft New Tai Lue"/>
        <w:color w:val="000000"/>
        <w:sz w:val="18"/>
        <w:szCs w:val="18"/>
        <w:rtl w:val="0"/>
      </w:rPr>
      <w:tab/>
      <w:tab/>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-749299</wp:posOffset>
              </wp:positionH>
              <wp:positionV relativeFrom="paragraph">
                <wp:posOffset>25400</wp:posOffset>
              </wp:positionV>
              <wp:extent cx="3801745" cy="513271"/>
              <wp:effectExtent b="0" l="0" r="0" t="0"/>
              <wp:wrapNone/>
              <wp:docPr id="1837382922" name=""/>
              <a:graphic>
                <a:graphicData uri="http://schemas.microsoft.com/office/word/2010/wordprocessingShape">
                  <wps:wsp>
                    <wps:cNvSpPr/>
                    <wps:cNvPr id="2" name="Shape 2"/>
                    <wps:spPr>
                      <a:xfrm>
                        <a:off x="3459415" y="3544098"/>
                        <a:ext cx="3773170" cy="471805"/>
                      </a:xfrm>
                      <a:prstGeom prst="rect">
                        <a:avLst/>
                      </a:prstGeom>
                      <a:solidFill>
                        <a:srgbClr val="FFFFFF"/>
                      </a:solidFill>
                      <a:ln cap="flat" cmpd="sng" w="9525">
                        <a:solidFill>
                          <a:schemeClr val="lt1"/>
                        </a:solidFill>
                        <a:prstDash val="solid"/>
                        <a:miter lim="800000"/>
                        <a:headEnd len="sm" w="sm" type="none"/>
                        <a:tailEnd len="sm" w="sm" type="none"/>
                      </a:ln>
                    </wps:spPr>
                    <wps:txbx>
                      <w:txbxContent>
                        <w:p w:rsidR="00000000" w:rsidDel="00000000" w:rsidP="00000000" w:rsidRDefault="00000000" w:rsidRPr="00000000">
                          <w:pPr>
                            <w:spacing w:after="160" w:before="0" w:line="258.0000114440918"/>
                            <w:ind w:left="0" w:right="0" w:firstLine="0"/>
                            <w:jc w:val="left"/>
                            <w:textDirection w:val="btLr"/>
                          </w:pPr>
                          <w:r w:rsidDel="00000000" w:rsidR="00000000" w:rsidRPr="00000000">
                            <w:rPr>
                              <w:rFonts w:ascii="Microsoft New Tai Lue" w:cs="Microsoft New Tai Lue" w:eastAsia="Microsoft New Tai Lue" w:hAnsi="Microsoft New Tai Lue"/>
                              <w:b w:val="0"/>
                              <w:i w:val="0"/>
                              <w:smallCaps w:val="0"/>
                              <w:strike w:val="0"/>
                              <w:color w:val="000000"/>
                              <w:sz w:val="18"/>
                              <w:vertAlign w:val="baseline"/>
                            </w:rPr>
                            <w:t xml:space="preserve">This work is licensed under a Creative Commons Attribution-ShareAlike 4.0 International (CC BY-SA 4.0)</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-749299</wp:posOffset>
              </wp:positionH>
              <wp:positionV relativeFrom="paragraph">
                <wp:posOffset>25400</wp:posOffset>
              </wp:positionV>
              <wp:extent cx="3801745" cy="513271"/>
              <wp:effectExtent b="0" l="0" r="0" t="0"/>
              <wp:wrapNone/>
              <wp:docPr id="1837382922"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3801745" cy="513271"/>
                      </a:xfrm>
                      <a:prstGeom prst="rect"/>
                      <a:ln/>
                    </pic:spPr>
                  </pic:pic>
                </a:graphicData>
              </a:graphic>
            </wp:anchor>
          </w:drawing>
        </mc:Fallback>
      </mc:AlternateContent>
    </w:r>
  </w:p>
  <w:p w:rsidR="00000000" w:rsidDel="00000000" w:rsidP="00000000" w:rsidRDefault="00000000" w:rsidRPr="00000000" w14:paraId="000000EB">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ind w:left="5760" w:firstLine="720"/>
      <w:jc w:val="both"/>
      <w:rPr>
        <w:color w:val="000000"/>
      </w:rPr>
    </w:pPr>
    <w:r w:rsidDel="00000000" w:rsidR="00000000" w:rsidRPr="00000000">
      <w:rPr>
        <w:rFonts w:ascii="Microsoft New Tai Lue" w:cs="Microsoft New Tai Lue" w:eastAsia="Microsoft New Tai Lue" w:hAnsi="Microsoft New Tai Lue"/>
        <w:color w:val="000000"/>
        <w:sz w:val="18"/>
        <w:szCs w:val="18"/>
        <w:rtl w:val="0"/>
      </w:rPr>
      <w:t xml:space="preserve">Copyright© 202</w:t>
    </w:r>
    <w:r w:rsidDel="00000000" w:rsidR="00000000" w:rsidRPr="00000000">
      <w:rPr>
        <w:rFonts w:ascii="Microsoft New Tai Lue" w:cs="Microsoft New Tai Lue" w:eastAsia="Microsoft New Tai Lue" w:hAnsi="Microsoft New Tai Lue"/>
        <w:sz w:val="18"/>
        <w:szCs w:val="18"/>
        <w:rtl w:val="0"/>
      </w:rPr>
      <w:t xml:space="preserve">2</w:t>
    </w:r>
    <w:r w:rsidDel="00000000" w:rsidR="00000000" w:rsidRPr="00000000">
      <w:rPr>
        <w:rFonts w:ascii="Microsoft New Tai Lue" w:cs="Microsoft New Tai Lue" w:eastAsia="Microsoft New Tai Lue" w:hAnsi="Microsoft New Tai Lue"/>
        <w:color w:val="000000"/>
        <w:sz w:val="18"/>
        <w:szCs w:val="18"/>
        <w:rtl w:val="0"/>
      </w:rPr>
      <w:t xml:space="preserve">; </w:t>
    </w:r>
    <w:r w:rsidDel="00000000" w:rsidR="00000000" w:rsidRPr="00000000">
      <w:rPr>
        <w:rFonts w:ascii="Microsoft New Tai Lue" w:cs="Microsoft New Tai Lue" w:eastAsia="Microsoft New Tai Lue" w:hAnsi="Microsoft New Tai Lue"/>
        <w:sz w:val="18"/>
        <w:szCs w:val="18"/>
        <w:rtl w:val="0"/>
      </w:rPr>
      <w:t xml:space="preserve">Authors</w:t>
    </w:r>
    <w:r w:rsidDel="00000000" w:rsidR="00000000" w:rsidRPr="00000000">
      <w:rPr>
        <w:rFonts w:ascii="Microsoft New Tai Lue" w:cs="Microsoft New Tai Lue" w:eastAsia="Microsoft New Tai Lue" w:hAnsi="Microsoft New Tai Lue"/>
        <w:color w:val="000000"/>
        <w:sz w:val="18"/>
        <w:szCs w:val="18"/>
        <w:rtl w:val="0"/>
      </w:rPr>
      <w:t xml:space="preserve">, </w:t>
    </w:r>
    <w:r w:rsidDel="00000000" w:rsidR="00000000" w:rsidRPr="00000000">
      <w:rPr>
        <w:color w:val="000000"/>
        <w:rtl w:val="0"/>
      </w:rPr>
      <w:t xml:space="preserve">| </w:t>
    </w:r>
    <w:r w:rsidDel="00000000" w:rsidR="00000000" w:rsidRPr="00000000">
      <w:rPr>
        <w:color w:val="000000"/>
      </w:rPr>
      <w:fldChar w:fldCharType="begin"/>
      <w:instrText xml:space="preserve">PAGE</w:instrText>
      <w:fldChar w:fldCharType="separate"/>
      <w:fldChar w:fldCharType="end"/>
    </w:r>
    <w:r w:rsidDel="00000000" w:rsidR="00000000" w:rsidRPr="00000000">
      <w:rPr>
        <w:color w:val="000000"/>
        <w:rtl w:val="0"/>
      </w:rPr>
      <w:t xml:space="preserve">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B">
    <w:pPr>
      <w:spacing w:after="0" w:lineRule="auto"/>
      <w:rPr>
        <w:rFonts w:ascii="NewsGoth Cn BT" w:cs="NewsGoth Cn BT" w:eastAsia="NewsGoth Cn BT" w:hAnsi="NewsGoth Cn BT"/>
        <w:i w:val="1"/>
        <w:sz w:val="21"/>
        <w:szCs w:val="21"/>
      </w:rPr>
    </w:pPr>
    <w:r w:rsidDel="00000000" w:rsidR="00000000" w:rsidRPr="00000000">
      <w:rPr>
        <w:rFonts w:ascii="NewsGoth Cn BT" w:cs="NewsGoth Cn BT" w:eastAsia="NewsGoth Cn BT" w:hAnsi="NewsGoth Cn BT"/>
        <w:i w:val="1"/>
        <w:sz w:val="21"/>
        <w:szCs w:val="21"/>
        <w:rtl w:val="0"/>
      </w:rPr>
      <w:t xml:space="preserve">SOPHIA: Jurnal Teologi dan Pendidikan Kristen, Vol </w:t>
    </w:r>
    <w:r w:rsidDel="00000000" w:rsidR="00000000" w:rsidRPr="00000000">
      <w:rPr>
        <w:rFonts w:ascii="NewsGoth Cn BT" w:cs="NewsGoth Cn BT" w:eastAsia="NewsGoth Cn BT" w:hAnsi="NewsGoth Cn BT"/>
        <w:i w:val="1"/>
        <w:color w:val="ff0000"/>
        <w:sz w:val="21"/>
        <w:szCs w:val="21"/>
        <w:rtl w:val="0"/>
      </w:rPr>
      <w:t xml:space="preserve">X</w:t>
    </w:r>
    <w:r w:rsidDel="00000000" w:rsidR="00000000" w:rsidRPr="00000000">
      <w:rPr>
        <w:rFonts w:ascii="NewsGoth Cn BT" w:cs="NewsGoth Cn BT" w:eastAsia="NewsGoth Cn BT" w:hAnsi="NewsGoth Cn BT"/>
        <w:i w:val="1"/>
        <w:sz w:val="21"/>
        <w:szCs w:val="21"/>
        <w:rtl w:val="0"/>
      </w:rPr>
      <w:t xml:space="preserve">, No </w:t>
    </w:r>
    <w:r w:rsidDel="00000000" w:rsidR="00000000" w:rsidRPr="00000000">
      <w:rPr>
        <w:rFonts w:ascii="NewsGoth Cn BT" w:cs="NewsGoth Cn BT" w:eastAsia="NewsGoth Cn BT" w:hAnsi="NewsGoth Cn BT"/>
        <w:i w:val="1"/>
        <w:color w:val="ff0000"/>
        <w:sz w:val="21"/>
        <w:szCs w:val="21"/>
        <w:rtl w:val="0"/>
      </w:rPr>
      <w:t xml:space="preserve">X</w:t>
    </w:r>
    <w:r w:rsidDel="00000000" w:rsidR="00000000" w:rsidRPr="00000000">
      <w:rPr>
        <w:rFonts w:ascii="NewsGoth Cn BT" w:cs="NewsGoth Cn BT" w:eastAsia="NewsGoth Cn BT" w:hAnsi="NewsGoth Cn BT"/>
        <w:i w:val="1"/>
        <w:sz w:val="21"/>
        <w:szCs w:val="21"/>
        <w:rtl w:val="0"/>
      </w:rPr>
      <w:t xml:space="preserve"> (</w:t>
    </w:r>
    <w:r w:rsidDel="00000000" w:rsidR="00000000" w:rsidRPr="00000000">
      <w:rPr>
        <w:rFonts w:ascii="NewsGoth Cn BT" w:cs="NewsGoth Cn BT" w:eastAsia="NewsGoth Cn BT" w:hAnsi="NewsGoth Cn BT"/>
        <w:i w:val="1"/>
        <w:color w:val="ff0000"/>
        <w:sz w:val="21"/>
        <w:szCs w:val="21"/>
        <w:rtl w:val="0"/>
      </w:rPr>
      <w:t xml:space="preserve">Bulan</w:t>
    </w:r>
    <w:r w:rsidDel="00000000" w:rsidR="00000000" w:rsidRPr="00000000">
      <w:rPr>
        <w:rFonts w:ascii="NewsGoth Cn BT" w:cs="NewsGoth Cn BT" w:eastAsia="NewsGoth Cn BT" w:hAnsi="NewsGoth Cn BT"/>
        <w:i w:val="1"/>
        <w:sz w:val="21"/>
        <w:szCs w:val="21"/>
        <w:rtl w:val="0"/>
      </w:rPr>
      <w:t xml:space="preserve"> 202</w:t>
    </w:r>
    <w:r w:rsidDel="00000000" w:rsidR="00000000" w:rsidRPr="00000000">
      <w:rPr>
        <w:rFonts w:ascii="NewsGoth Cn BT" w:cs="NewsGoth Cn BT" w:eastAsia="NewsGoth Cn BT" w:hAnsi="NewsGoth Cn BT"/>
        <w:i w:val="1"/>
        <w:color w:val="ff0000"/>
        <w:sz w:val="21"/>
        <w:szCs w:val="21"/>
        <w:rtl w:val="0"/>
      </w:rPr>
      <w:t xml:space="preserve">X</w:t>
    </w:r>
    <w:r w:rsidDel="00000000" w:rsidR="00000000" w:rsidRPr="00000000">
      <w:rPr>
        <w:rFonts w:ascii="NewsGoth Cn BT" w:cs="NewsGoth Cn BT" w:eastAsia="NewsGoth Cn BT" w:hAnsi="NewsGoth Cn BT"/>
        <w:i w:val="1"/>
        <w:sz w:val="21"/>
        <w:szCs w:val="21"/>
        <w:rtl w:val="0"/>
      </w:rPr>
      <w:t xml:space="preserve">)</w:t>
    </w:r>
  </w:p>
  <w:p w:rsidR="00000000" w:rsidDel="00000000" w:rsidP="00000000" w:rsidRDefault="00000000" w:rsidRPr="00000000" w14:paraId="000000DC">
    <w:pPr>
      <w:spacing w:after="0" w:lineRule="auto"/>
      <w:rPr>
        <w:rFonts w:ascii="NewsGoth Cn BT" w:cs="NewsGoth Cn BT" w:eastAsia="NewsGoth Cn BT" w:hAnsi="NewsGoth Cn BT"/>
        <w:sz w:val="21"/>
        <w:szCs w:val="21"/>
      </w:rPr>
    </w:pPr>
    <w:r w:rsidDel="00000000" w:rsidR="00000000" w:rsidRPr="00000000">
      <w:rPr>
        <w:rtl w:val="0"/>
      </w:rPr>
    </w:r>
  </w:p>
  <w:p w:rsidR="00000000" w:rsidDel="00000000" w:rsidP="00000000" w:rsidRDefault="00000000" w:rsidRPr="00000000" w14:paraId="000000DD">
    <w:pPr>
      <w:pBdr>
        <w:top w:space="0" w:sz="0" w:val="nil"/>
        <w:left w:space="0" w:sz="0" w:val="nil"/>
        <w:bottom w:space="0" w:sz="0" w:val="nil"/>
        <w:right w:space="0" w:sz="0" w:val="nil"/>
        <w:between w:space="0" w:sz="0" w:val="nil"/>
      </w:pBdr>
      <w:spacing w:after="0" w:line="240" w:lineRule="auto"/>
      <w:ind w:left="1440" w:firstLine="0"/>
      <w:jc w:val="both"/>
      <w:rPr>
        <w:rFonts w:ascii="Cambria" w:cs="Cambria" w:eastAsia="Cambria" w:hAnsi="Cambria"/>
        <w:i w:val="1"/>
        <w:color w:val="000000"/>
        <w:sz w:val="20"/>
        <w:szCs w:val="2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E">
    <w:pPr>
      <w:pBdr>
        <w:top w:space="0" w:sz="0" w:val="nil"/>
        <w:left w:space="0" w:sz="0" w:val="nil"/>
        <w:bottom w:space="0" w:sz="0" w:val="nil"/>
        <w:right w:space="0" w:sz="0" w:val="nil"/>
        <w:between w:space="0" w:sz="0" w:val="nil"/>
      </w:pBdr>
      <w:spacing w:after="0" w:line="240" w:lineRule="auto"/>
      <w:jc w:val="both"/>
      <w:rPr>
        <w:rFonts w:ascii="Cambria" w:cs="Cambria" w:eastAsia="Cambria" w:hAnsi="Cambria"/>
        <w:color w:val="000000"/>
        <w:sz w:val="20"/>
        <w:szCs w:val="20"/>
      </w:rPr>
    </w:pPr>
    <w:r w:rsidDel="00000000" w:rsidR="00000000" w:rsidRPr="00000000">
      <w:rPr>
        <w:rFonts w:ascii="Cambria" w:cs="Cambria" w:eastAsia="Cambria" w:hAnsi="Cambria"/>
        <w:i w:val="1"/>
        <w:color w:val="000000"/>
        <w:sz w:val="20"/>
        <w:szCs w:val="20"/>
        <w:rtl w:val="0"/>
      </w:rPr>
      <w:t xml:space="preserve">Nama Penulis: </w:t>
    </w:r>
    <w:r w:rsidDel="00000000" w:rsidR="00000000" w:rsidRPr="00000000">
      <w:rPr>
        <w:rFonts w:ascii="Cambria" w:cs="Cambria" w:eastAsia="Cambria" w:hAnsi="Cambria"/>
        <w:color w:val="000000"/>
        <w:sz w:val="20"/>
        <w:szCs w:val="20"/>
        <w:rtl w:val="0"/>
      </w:rPr>
      <w:t xml:space="preserve">Judul Artikel</w:t>
    </w:r>
  </w:p>
  <w:p w:rsidR="00000000" w:rsidDel="00000000" w:rsidP="00000000" w:rsidRDefault="00000000" w:rsidRPr="00000000" w14:paraId="000000DF">
    <w:pPr>
      <w:jc w:val="right"/>
      <w:rPr>
        <w:rFonts w:ascii="NewsGoth Cn BT" w:cs="NewsGoth Cn BT" w:eastAsia="NewsGoth Cn BT" w:hAnsi="NewsGoth Cn BT"/>
        <w:i w:val="1"/>
        <w:sz w:val="21"/>
        <w:szCs w:val="21"/>
      </w:rPr>
    </w:pPr>
    <w:r w:rsidDel="00000000" w:rsidR="00000000" w:rsidRPr="00000000">
      <w:rPr>
        <w:rtl w:val="0"/>
      </w:rPr>
    </w:r>
  </w:p>
  <w:p w:rsidR="00000000" w:rsidDel="00000000" w:rsidP="00000000" w:rsidRDefault="00000000" w:rsidRPr="00000000" w14:paraId="000000E0">
    <w:pPr>
      <w:spacing w:after="0" w:lineRule="auto"/>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0" w:before="200" w:line="276"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672C22"/>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link w:val="Heading2Char"/>
    <w:uiPriority w:val="9"/>
    <w:semiHidden w:val="1"/>
    <w:unhideWhenUsed w:val="1"/>
    <w:qFormat w:val="1"/>
    <w:rsid w:val="0091002E"/>
    <w:pPr>
      <w:keepNext w:val="1"/>
      <w:keepLines w:val="1"/>
      <w:spacing w:after="0" w:before="200" w:line="276" w:lineRule="auto"/>
      <w:outlineLvl w:val="1"/>
    </w:pPr>
    <w:rPr>
      <w:rFonts w:asciiTheme="majorHAnsi" w:cstheme="majorBidi" w:eastAsiaTheme="majorEastAsia" w:hAnsiTheme="majorHAnsi"/>
      <w:b w:val="1"/>
      <w:bCs w:val="1"/>
      <w:color w:val="4f81bd" w:themeColor="accent1"/>
      <w:sz w:val="26"/>
      <w:szCs w:val="2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NoSpacing">
    <w:name w:val="No Spacing"/>
    <w:uiPriority w:val="1"/>
    <w:qFormat w:val="1"/>
    <w:rsid w:val="00EC6CA6"/>
    <w:pPr>
      <w:spacing w:after="0" w:line="240" w:lineRule="auto"/>
    </w:pPr>
    <w:rPr>
      <w:rFonts w:ascii="Times New Roman" w:eastAsia="Times New Roman" w:hAnsi="Times New Roman"/>
      <w:sz w:val="24"/>
    </w:rPr>
  </w:style>
  <w:style w:type="paragraph" w:styleId="FootnoteText">
    <w:name w:val="footnote text"/>
    <w:basedOn w:val="Normal"/>
    <w:link w:val="FootnoteTextChar"/>
    <w:uiPriority w:val="99"/>
    <w:unhideWhenUsed w:val="1"/>
    <w:rsid w:val="00394B36"/>
    <w:pPr>
      <w:spacing w:after="0" w:line="240" w:lineRule="auto"/>
    </w:pPr>
    <w:rPr>
      <w:sz w:val="20"/>
      <w:szCs w:val="20"/>
    </w:rPr>
  </w:style>
  <w:style w:type="character" w:styleId="FootnoteTextChar" w:customStyle="1">
    <w:name w:val="Footnote Text Char"/>
    <w:basedOn w:val="DefaultParagraphFont"/>
    <w:link w:val="FootnoteText"/>
    <w:uiPriority w:val="99"/>
    <w:rsid w:val="00394B36"/>
    <w:rPr>
      <w:sz w:val="20"/>
      <w:szCs w:val="20"/>
    </w:rPr>
  </w:style>
  <w:style w:type="character" w:styleId="FootnoteReference">
    <w:name w:val="footnote reference"/>
    <w:basedOn w:val="DefaultParagraphFont"/>
    <w:uiPriority w:val="99"/>
    <w:semiHidden w:val="1"/>
    <w:unhideWhenUsed w:val="1"/>
    <w:rsid w:val="00394B36"/>
    <w:rPr>
      <w:vertAlign w:val="superscript"/>
    </w:rPr>
  </w:style>
  <w:style w:type="character" w:styleId="Hyperlink">
    <w:name w:val="Hyperlink"/>
    <w:basedOn w:val="DefaultParagraphFont"/>
    <w:uiPriority w:val="99"/>
    <w:unhideWhenUsed w:val="1"/>
    <w:rsid w:val="00A05738"/>
    <w:rPr>
      <w:color w:val="0000ff" w:themeColor="hyperlink"/>
      <w:u w:val="single"/>
    </w:rPr>
  </w:style>
  <w:style w:type="paragraph" w:styleId="Header">
    <w:name w:val="header"/>
    <w:basedOn w:val="Normal"/>
    <w:link w:val="HeaderChar"/>
    <w:uiPriority w:val="99"/>
    <w:unhideWhenUsed w:val="1"/>
    <w:rsid w:val="00393BA7"/>
    <w:pPr>
      <w:tabs>
        <w:tab w:val="center" w:pos="4680"/>
        <w:tab w:val="right" w:pos="9360"/>
      </w:tabs>
      <w:spacing w:after="0" w:line="240" w:lineRule="auto"/>
    </w:pPr>
  </w:style>
  <w:style w:type="character" w:styleId="HeaderChar" w:customStyle="1">
    <w:name w:val="Header Char"/>
    <w:basedOn w:val="DefaultParagraphFont"/>
    <w:link w:val="Header"/>
    <w:uiPriority w:val="99"/>
    <w:rsid w:val="00393BA7"/>
  </w:style>
  <w:style w:type="paragraph" w:styleId="Footer">
    <w:name w:val="footer"/>
    <w:basedOn w:val="Normal"/>
    <w:link w:val="FooterChar"/>
    <w:uiPriority w:val="99"/>
    <w:unhideWhenUsed w:val="1"/>
    <w:rsid w:val="00393BA7"/>
    <w:pPr>
      <w:tabs>
        <w:tab w:val="center" w:pos="4680"/>
        <w:tab w:val="right" w:pos="9360"/>
      </w:tabs>
      <w:spacing w:after="0" w:line="240" w:lineRule="auto"/>
    </w:pPr>
  </w:style>
  <w:style w:type="character" w:styleId="FooterChar" w:customStyle="1">
    <w:name w:val="Footer Char"/>
    <w:basedOn w:val="DefaultParagraphFont"/>
    <w:link w:val="Footer"/>
    <w:uiPriority w:val="99"/>
    <w:rsid w:val="00393BA7"/>
  </w:style>
  <w:style w:type="character" w:styleId="CommentReference">
    <w:name w:val="annotation reference"/>
    <w:basedOn w:val="DefaultParagraphFont"/>
    <w:uiPriority w:val="99"/>
    <w:semiHidden w:val="1"/>
    <w:unhideWhenUsed w:val="1"/>
    <w:rsid w:val="00B93EC3"/>
    <w:rPr>
      <w:sz w:val="16"/>
      <w:szCs w:val="16"/>
    </w:rPr>
  </w:style>
  <w:style w:type="paragraph" w:styleId="CommentText">
    <w:name w:val="annotation text"/>
    <w:basedOn w:val="Normal"/>
    <w:link w:val="CommentTextChar"/>
    <w:uiPriority w:val="99"/>
    <w:semiHidden w:val="1"/>
    <w:unhideWhenUsed w:val="1"/>
    <w:rsid w:val="00B93EC3"/>
    <w:pPr>
      <w:spacing w:after="200" w:line="240" w:lineRule="auto"/>
    </w:pPr>
    <w:rPr>
      <w:sz w:val="20"/>
      <w:szCs w:val="20"/>
    </w:rPr>
  </w:style>
  <w:style w:type="character" w:styleId="CommentTextChar" w:customStyle="1">
    <w:name w:val="Comment Text Char"/>
    <w:basedOn w:val="DefaultParagraphFont"/>
    <w:link w:val="CommentText"/>
    <w:uiPriority w:val="99"/>
    <w:semiHidden w:val="1"/>
    <w:rsid w:val="00B93EC3"/>
    <w:rPr>
      <w:sz w:val="20"/>
      <w:szCs w:val="20"/>
    </w:rPr>
  </w:style>
  <w:style w:type="paragraph" w:styleId="CommentSubject">
    <w:name w:val="annotation subject"/>
    <w:basedOn w:val="CommentText"/>
    <w:next w:val="CommentText"/>
    <w:link w:val="CommentSubjectChar"/>
    <w:uiPriority w:val="99"/>
    <w:semiHidden w:val="1"/>
    <w:unhideWhenUsed w:val="1"/>
    <w:rsid w:val="00B93EC3"/>
    <w:rPr>
      <w:b w:val="1"/>
      <w:bCs w:val="1"/>
    </w:rPr>
  </w:style>
  <w:style w:type="character" w:styleId="CommentSubjectChar" w:customStyle="1">
    <w:name w:val="Comment Subject Char"/>
    <w:basedOn w:val="CommentTextChar"/>
    <w:link w:val="CommentSubject"/>
    <w:uiPriority w:val="99"/>
    <w:semiHidden w:val="1"/>
    <w:rsid w:val="00B93EC3"/>
    <w:rPr>
      <w:b w:val="1"/>
      <w:bCs w:val="1"/>
      <w:sz w:val="20"/>
      <w:szCs w:val="20"/>
    </w:rPr>
  </w:style>
  <w:style w:type="paragraph" w:styleId="BalloonText">
    <w:name w:val="Balloon Text"/>
    <w:basedOn w:val="Normal"/>
    <w:link w:val="BalloonTextChar"/>
    <w:uiPriority w:val="99"/>
    <w:semiHidden w:val="1"/>
    <w:unhideWhenUsed w:val="1"/>
    <w:rsid w:val="00B93EC3"/>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B93EC3"/>
    <w:rPr>
      <w:rFonts w:ascii="Tahoma" w:cs="Tahoma" w:hAnsi="Tahoma"/>
      <w:sz w:val="16"/>
      <w:szCs w:val="16"/>
    </w:rPr>
  </w:style>
  <w:style w:type="table" w:styleId="TableGrid">
    <w:name w:val="Table Grid"/>
    <w:basedOn w:val="TableNormal"/>
    <w:uiPriority w:val="59"/>
    <w:rsid w:val="008817A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LightGrid-Accent11" w:customStyle="1">
    <w:name w:val="Light Grid - Accent 11"/>
    <w:basedOn w:val="TableNormal"/>
    <w:uiPriority w:val="62"/>
    <w:rsid w:val="008817AF"/>
    <w:pPr>
      <w:spacing w:after="0" w:line="240" w:lineRule="auto"/>
    </w:pPr>
    <w:tblPr>
      <w:tblStyleRowBandSize w:val="1"/>
      <w:tblStyleColBandSize w:val="1"/>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Shading-Accent11" w:customStyle="1">
    <w:name w:val="Light Shading - Accent 11"/>
    <w:basedOn w:val="TableNormal"/>
    <w:uiPriority w:val="60"/>
    <w:rsid w:val="002D7355"/>
    <w:pPr>
      <w:spacing w:after="0" w:line="240" w:lineRule="auto"/>
    </w:pPr>
    <w:rPr>
      <w:color w:val="365f91" w:themeColor="accent1" w:themeShade="0000BF"/>
    </w:rPr>
    <w:tblPr>
      <w:tblStyleRowBandSize w:val="1"/>
      <w:tblStyleColBandSize w:val="1"/>
      <w:tblBorders>
        <w:top w:color="4f81bd" w:space="0" w:sz="8" w:themeColor="accent1" w:val="single"/>
        <w:bottom w:color="4f81bd" w:space="0" w:sz="8" w:themeColor="accent1" w:val="single"/>
      </w:tblBorders>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MediumList11" w:customStyle="1">
    <w:name w:val="Medium List 11"/>
    <w:basedOn w:val="TableNormal"/>
    <w:uiPriority w:val="65"/>
    <w:rsid w:val="00672C22"/>
    <w:pPr>
      <w:spacing w:after="0" w:line="240" w:lineRule="auto"/>
    </w:pPr>
    <w:rPr>
      <w:color w:val="000000" w:themeColor="text1"/>
    </w:rPr>
    <w:tblPr>
      <w:tblStyleRowBandSize w:val="1"/>
      <w:tblStyleColBandSize w:val="1"/>
      <w:tblBorders>
        <w:top w:color="000000" w:space="0" w:sz="8" w:themeColor="text1" w:val="single"/>
        <w:bottom w:color="000000" w:space="0" w:sz="8" w:themeColor="text1" w:val="single"/>
      </w:tblBorders>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paragraph" w:styleId="ListParagraph">
    <w:name w:val="List Paragraph"/>
    <w:basedOn w:val="Normal"/>
    <w:uiPriority w:val="34"/>
    <w:qFormat w:val="1"/>
    <w:rsid w:val="004F3FE4"/>
    <w:pPr>
      <w:spacing w:after="200" w:line="276" w:lineRule="auto"/>
      <w:ind w:left="720"/>
      <w:contextualSpacing w:val="1"/>
    </w:pPr>
  </w:style>
  <w:style w:type="character" w:styleId="Emphasis">
    <w:name w:val="Emphasis"/>
    <w:basedOn w:val="DefaultParagraphFont"/>
    <w:uiPriority w:val="20"/>
    <w:qFormat w:val="1"/>
    <w:rsid w:val="004F3FE4"/>
    <w:rPr>
      <w:i w:val="1"/>
      <w:iCs w:val="1"/>
    </w:rPr>
  </w:style>
  <w:style w:type="character" w:styleId="cc-license-title" w:customStyle="1">
    <w:name w:val="cc-license-title"/>
    <w:basedOn w:val="DefaultParagraphFont"/>
    <w:rsid w:val="004F307C"/>
  </w:style>
  <w:style w:type="character" w:styleId="cc-license-identifier" w:customStyle="1">
    <w:name w:val="cc-license-identifier"/>
    <w:basedOn w:val="DefaultParagraphFont"/>
    <w:rsid w:val="004F307C"/>
  </w:style>
  <w:style w:type="paragraph" w:styleId="HTMLPreformatted">
    <w:name w:val="HTML Preformatted"/>
    <w:basedOn w:val="Normal"/>
    <w:link w:val="HTMLPreformattedChar"/>
    <w:uiPriority w:val="99"/>
    <w:unhideWhenUsed w:val="1"/>
    <w:rsid w:val="008F5E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eastAsia="Times New Roman" w:hAnsi="Courier New"/>
      <w:sz w:val="20"/>
      <w:szCs w:val="20"/>
    </w:rPr>
  </w:style>
  <w:style w:type="character" w:styleId="HTMLPreformattedChar" w:customStyle="1">
    <w:name w:val="HTML Preformatted Char"/>
    <w:basedOn w:val="DefaultParagraphFont"/>
    <w:link w:val="HTMLPreformatted"/>
    <w:uiPriority w:val="99"/>
    <w:rsid w:val="008F5EA3"/>
    <w:rPr>
      <w:rFonts w:ascii="Courier New" w:cs="Courier New" w:eastAsia="Times New Roman" w:hAnsi="Courier New"/>
      <w:sz w:val="20"/>
      <w:szCs w:val="20"/>
    </w:rPr>
  </w:style>
  <w:style w:type="paragraph" w:styleId="Default" w:customStyle="1">
    <w:name w:val="Default"/>
    <w:rsid w:val="008F5EA3"/>
    <w:pPr>
      <w:autoSpaceDE w:val="0"/>
      <w:autoSpaceDN w:val="0"/>
      <w:adjustRightInd w:val="0"/>
      <w:spacing w:after="0" w:line="240" w:lineRule="auto"/>
    </w:pPr>
    <w:rPr>
      <w:rFonts w:ascii="Times New Roman" w:cs="Times New Roman" w:hAnsi="Times New Roman"/>
      <w:color w:val="000000"/>
      <w:sz w:val="24"/>
      <w:szCs w:val="24"/>
    </w:rPr>
  </w:style>
  <w:style w:type="character" w:styleId="UnresolvedMention">
    <w:name w:val="Unresolved Mention"/>
    <w:basedOn w:val="DefaultParagraphFont"/>
    <w:uiPriority w:val="99"/>
    <w:semiHidden w:val="1"/>
    <w:unhideWhenUsed w:val="1"/>
    <w:rsid w:val="00311E36"/>
    <w:rPr>
      <w:color w:val="605e5c"/>
      <w:shd w:color="auto" w:fill="e1dfdd" w:val="clear"/>
    </w:rPr>
  </w:style>
  <w:style w:type="paragraph" w:styleId="NormalWeb">
    <w:name w:val="Normal (Web)"/>
    <w:basedOn w:val="Normal"/>
    <w:uiPriority w:val="99"/>
    <w:unhideWhenUsed w:val="1"/>
    <w:rsid w:val="001419AB"/>
    <w:pPr>
      <w:spacing w:after="100" w:afterAutospacing="1" w:before="100" w:beforeAutospacing="1" w:line="240" w:lineRule="auto"/>
    </w:pPr>
    <w:rPr>
      <w:rFonts w:ascii="Times New Roman" w:cs="Times New Roman" w:eastAsia="Times New Roman" w:hAnsi="Times New Roman"/>
      <w:sz w:val="24"/>
      <w:szCs w:val="24"/>
    </w:rPr>
  </w:style>
  <w:style w:type="character" w:styleId="Heading2Char" w:customStyle="1">
    <w:name w:val="Heading 2 Char"/>
    <w:basedOn w:val="DefaultParagraphFont"/>
    <w:link w:val="Heading2"/>
    <w:uiPriority w:val="9"/>
    <w:rsid w:val="0091002E"/>
    <w:rPr>
      <w:rFonts w:asciiTheme="majorHAnsi" w:cstheme="majorBidi" w:eastAsiaTheme="majorEastAsia" w:hAnsiTheme="majorHAnsi"/>
      <w:b w:val="1"/>
      <w:bCs w:val="1"/>
      <w:color w:val="4f81bd" w:themeColor="accent1"/>
      <w:sz w:val="26"/>
      <w:szCs w:val="26"/>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rPr>
      <w:color w:val="000000"/>
    </w:rPr>
    <w:tblPr>
      <w:tblStyleRowBandSize w:val="1"/>
      <w:tblStyleColBandSize w:val="1"/>
    </w:tblPr>
    <w:tblStylePr w:type="firstRow">
      <w:pPr>
        <w:spacing w:after="0" w:before="0" w:line="240" w:lineRule="auto"/>
      </w:pPr>
      <w:rPr>
        <w:b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lastRow">
      <w:pPr>
        <w:spacing w:after="0" w:before="0" w:line="240" w:lineRule="auto"/>
      </w:pPr>
      <w:rPr>
        <w:b w:val="1"/>
      </w:rPr>
      <w:tblPr/>
      <w:tcPr>
        <w:tcBorders>
          <w:top w:color="4f81bd" w:space="0" w:sz="8" w:val="single"/>
          <w:left w:space="0" w:sz="0" w:val="nil"/>
          <w:bottom w:color="4f81bd" w:space="0" w:sz="8" w:val="single"/>
          <w:right w:space="0" w:sz="0" w:val="nil"/>
          <w:insideH w:space="0" w:sz="0" w:val="nil"/>
          <w:insideV w:space="0" w:sz="0" w:val="nil"/>
        </w:tcBorders>
      </w:tcPr>
    </w:tblStylePr>
    <w:tblStylePr w:type="firstCol">
      <w:rPr>
        <w:b w:val="1"/>
      </w:rPr>
    </w:tblStylePr>
    <w:tblStylePr w:type="lastCol">
      <w:rPr>
        <w:b w:val="1"/>
      </w:rPr>
    </w:tblStylePr>
    <w:tblStylePr w:type="band1Vert">
      <w:tblPr/>
      <w:tcPr>
        <w:tcBorders>
          <w:left w:space="0" w:sz="0" w:val="nil"/>
          <w:right w:space="0" w:sz="0" w:val="nil"/>
          <w:insideH w:space="0" w:sz="0" w:val="nil"/>
          <w:insideV w:space="0" w:sz="0" w:val="nil"/>
        </w:tcBorders>
        <w:shd w:color="auto" w:fill="d3dfee" w:val="clear"/>
      </w:tcPr>
    </w:tblStylePr>
    <w:tblStylePr w:type="band1Horz">
      <w:tblPr/>
      <w:tcPr>
        <w:tcBorders>
          <w:left w:space="0" w:sz="0" w:val="nil"/>
          <w:right w:space="0" w:sz="0" w:val="nil"/>
          <w:insideH w:space="0" w:sz="0" w:val="nil"/>
          <w:insideV w:space="0" w:sz="0" w:val="nil"/>
        </w:tcBorders>
        <w:shd w:color="auto" w:fill="d3dfee" w:val="clear"/>
      </w:tcPr>
    </w:tblStylePr>
  </w:style>
  <w:style w:type="table" w:styleId="a0" w:customStyle="1">
    <w:basedOn w:val="TableNormal"/>
    <w:tblPr>
      <w:tblStyleRowBandSize w:val="1"/>
      <w:tblStyleColBandSize w:val="1"/>
      <w:tblCellMar>
        <w:left w:w="0.0" w:type="dxa"/>
        <w:right w:w="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jp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Khmer-regular.ttf"/></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erpzc3eiJv7amtZW9c0UbKpmBA==">CgMxLjAyDmguNWcxZHdwcWN2NDNzMg5oLmFtZGg2eWp1aHhnbDgAciExeWtqOVJ6em5TMFpaX0ZkNXdyS1pzWkpMeS1iR0VjTHg=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2020-12-30T08:38:00Z</dcterms:created>
  <dc:creator>CHAREL</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95c451ee-316b-36ad-9ff6-9dc7641ac7c4</vt:lpwstr>
  </property>
  <property fmtid="{D5CDD505-2E9C-101B-9397-08002B2CF9AE}" pid="24" name="Mendeley Citation Style_1">
    <vt:lpwstr>http://www.zotero.org/styles/turabian-fullnote-bibliography</vt:lpwstr>
  </property>
</Properties>
</file>